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DD54A">
      <w:pPr>
        <w:pStyle w:val="36"/>
        <w:framePr w:wrap="around" w:x="1393" w:y="5749"/>
      </w:pPr>
      <w:r>
        <w:rPr>
          <w:rFonts w:hint="eastAsia"/>
        </w:rPr>
        <w:t>重型车用柴油机高原性能通用技术条件</w:t>
      </w:r>
    </w:p>
    <w:p w14:paraId="3D6C758A">
      <w:pPr>
        <w:pStyle w:val="31"/>
        <w:framePr w:wrap="around" w:x="1393"/>
        <w:rPr>
          <w:rFonts w:hint="eastAsia"/>
        </w:rPr>
      </w:pPr>
      <w:bookmarkStart w:id="0" w:name="_Hlk103243066"/>
      <w:r>
        <w:rPr>
          <w:rFonts w:hint="eastAsia"/>
        </w:rPr>
        <w:t>Heavy-duty vehicle diesel engines general technical specification for plateau performance</w:t>
      </w:r>
    </w:p>
    <w:p w14:paraId="04E5FA24">
      <w:pPr>
        <w:pStyle w:val="32"/>
        <w:framePr w:wrap="around"/>
        <w:rPr>
          <w:rFonts w:hint="eastAsia" w:ascii="黑体" w:hAnsi="黑体"/>
        </w:rPr>
      </w:pPr>
      <w:r>
        <w:rPr>
          <w:rFonts w:hint="eastAsia" w:ascii="黑体" w:hAnsi="黑体"/>
        </w:rPr>
        <w:t>20XX</w:t>
      </w:r>
      <w:r>
        <w:rPr>
          <w:rFonts w:ascii="黑体" w:hAnsi="黑体"/>
        </w:rPr>
        <w:t>-</w:t>
      </w:r>
      <w:r>
        <w:rPr>
          <w:rFonts w:hint="eastAsia" w:ascii="黑体" w:hAnsi="黑体"/>
        </w:rPr>
        <w:t>XX</w:t>
      </w:r>
      <w:r>
        <w:rPr>
          <w:rFonts w:ascii="黑体" w:hAnsi="黑体"/>
        </w:rPr>
        <w:t>-</w:t>
      </w:r>
      <w:r>
        <w:rPr>
          <w:rFonts w:hint="eastAsia" w:ascii="黑体" w:hAnsi="黑体"/>
        </w:rPr>
        <w:t>XX发布</w:t>
      </w:r>
      <w:r>
        <w:rPr>
          <w:rFonts w:ascii="黑体" w:hAnsi="黑体"/>
        </w:rPr>
        <mc:AlternateContent>
          <mc:Choice Requires="wps">
            <w:drawing>
              <wp:anchor distT="0" distB="0" distL="114300" distR="114300" simplePos="0" relativeHeight="251659264" behindDoc="0" locked="1" layoutInCell="1" allowOverlap="1">
                <wp:simplePos x="0" y="0"/>
                <wp:positionH relativeFrom="column">
                  <wp:posOffset>-635</wp:posOffset>
                </wp:positionH>
                <wp:positionV relativeFrom="page">
                  <wp:posOffset>9251950</wp:posOffset>
                </wp:positionV>
                <wp:extent cx="6120130" cy="0"/>
                <wp:effectExtent l="13970" t="12700" r="9525" b="6350"/>
                <wp:wrapNone/>
                <wp:docPr id="3" name="Line 10"/>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0" o:spid="_x0000_s1026" o:spt="20" style="position:absolute;left:0pt;margin-left:-0.05pt;margin-top:728.5pt;height:0pt;width:481.9pt;mso-position-vertical-relative:page;z-index:251659264;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JYdrPNYAAAALAQAADwAAAAAAAAABACAAAAAiAAAAZHJzL2Rv&#10;d25yZXYueG1sUEsBAhQAFAAAAAgAh07iQFtSG4nKAQAAoAMAAA4AAAAAAAAAAQAgAAAAJQEAAGRy&#10;cy9lMm9Eb2MueG1sUEsFBgAAAAAGAAYAWQEAAGEFAAAAAA==&#10;">
                <v:fill on="f" focussize="0,0"/>
                <v:stroke color="#000000" joinstyle="round"/>
                <v:imagedata o:title=""/>
                <o:lock v:ext="edit" aspectratio="f"/>
                <w10:anchorlock/>
              </v:line>
            </w:pict>
          </mc:Fallback>
        </mc:AlternateContent>
      </w:r>
    </w:p>
    <w:p w14:paraId="05B9E3BD">
      <w:pPr>
        <w:pStyle w:val="33"/>
        <w:framePr w:wrap="around"/>
        <w:rPr>
          <w:rFonts w:hint="eastAsia" w:ascii="黑体" w:hAnsi="黑体"/>
        </w:rPr>
      </w:pPr>
      <w:r>
        <w:rPr>
          <w:rFonts w:hint="eastAsia" w:ascii="黑体" w:hAnsi="黑体"/>
        </w:rPr>
        <w:t>20XX</w:t>
      </w:r>
      <w:r>
        <w:rPr>
          <w:rFonts w:ascii="黑体" w:hAnsi="黑体"/>
        </w:rPr>
        <w:t>-</w:t>
      </w:r>
      <w:r>
        <w:rPr>
          <w:rFonts w:hint="eastAsia" w:ascii="黑体" w:hAnsi="黑体"/>
        </w:rPr>
        <w:t>XX</w:t>
      </w:r>
      <w:r>
        <w:rPr>
          <w:rFonts w:ascii="黑体" w:hAnsi="黑体"/>
        </w:rPr>
        <w:t>-</w:t>
      </w:r>
      <w:r>
        <w:rPr>
          <w:rFonts w:hint="eastAsia" w:ascii="黑体" w:hAnsi="黑体"/>
        </w:rPr>
        <w:t>XX实施</w:t>
      </w:r>
    </w:p>
    <w:p w14:paraId="47628707">
      <w:pPr>
        <w:pStyle w:val="30"/>
        <w:framePr w:wrap="around"/>
        <w:rPr>
          <w:rFonts w:hint="eastAsia" w:ascii="黑体" w:hAnsi="黑体" w:eastAsia="黑体"/>
          <w:b w:val="0"/>
        </w:rPr>
      </w:pPr>
      <w:r>
        <w:rPr>
          <w:rFonts w:hint="eastAsia" w:ascii="黑体" w:hAnsi="黑体" w:eastAsia="黑体"/>
          <w:b w:val="0"/>
          <w:spacing w:val="0"/>
          <w:szCs w:val="28"/>
        </w:rPr>
        <w:t>中国内燃机学会</w:t>
      </w:r>
      <w:r>
        <w:rPr>
          <w:rFonts w:hint="eastAsia" w:ascii="黑体" w:hAnsi="黑体" w:eastAsia="黑体"/>
          <w:b w:val="0"/>
          <w:spacing w:val="0"/>
          <w:sz w:val="44"/>
          <w:szCs w:val="44"/>
        </w:rPr>
        <w:t xml:space="preserve">  </w:t>
      </w:r>
      <w:r>
        <w:rPr>
          <w:rFonts w:hint="eastAsia" w:ascii="黑体" w:hAnsi="黑体" w:eastAsia="黑体"/>
          <w:b w:val="0"/>
          <w:spacing w:val="0"/>
          <w:szCs w:val="28"/>
        </w:rPr>
        <w:t>发布</w:t>
      </w:r>
    </w:p>
    <w:bookmarkEnd w:id="0"/>
    <w:p w14:paraId="29E2E851">
      <w:pPr>
        <w:pStyle w:val="25"/>
        <w:ind w:firstLine="0" w:firstLineChars="0"/>
        <w:rPr>
          <w:rFonts w:hint="eastAsia" w:ascii="黑体" w:hAnsi="黑体" w:eastAsia="黑体"/>
        </w:rPr>
      </w:pPr>
      <w:r>
        <w:rPr>
          <w:rFonts w:ascii="黑体" w:hAnsi="黑体" w:eastAsia="黑体"/>
        </w:rPr>
        <w:t xml:space="preserve">ICS 27.020 </w:t>
      </w:r>
    </w:p>
    <w:p w14:paraId="00F73DED">
      <w:pPr>
        <w:pStyle w:val="35"/>
        <w:framePr w:h="1411" w:hRule="exact" w:wrap="around"/>
        <w:rPr>
          <w:rFonts w:hint="eastAsia" w:ascii="黑体" w:hAnsi="黑体" w:eastAsia="黑体"/>
          <w:b w:val="0"/>
          <w:spacing w:val="0"/>
          <w:w w:val="100"/>
          <w:sz w:val="84"/>
          <w:szCs w:val="84"/>
        </w:rPr>
      </w:pPr>
      <w:r>
        <w:rPr>
          <w:rFonts w:hint="eastAsia" w:ascii="黑体" w:hAnsi="黑体" w:eastAsia="黑体"/>
          <w:b w:val="0"/>
          <w:spacing w:val="0"/>
          <w:w w:val="100"/>
          <w:sz w:val="84"/>
          <w:szCs w:val="84"/>
        </w:rPr>
        <w:t>团体标准</w:t>
      </w:r>
    </w:p>
    <w:p w14:paraId="280F600D">
      <w:pPr>
        <w:pStyle w:val="34"/>
        <w:framePr w:wrap="around" w:y="3481"/>
        <w:wordWrap w:val="0"/>
        <w:rPr>
          <w:rFonts w:hint="eastAsia" w:hAnsi="黑体"/>
        </w:rPr>
      </w:pPr>
      <w:r>
        <w:rPr>
          <w:rFonts w:hint="eastAsia" w:hAnsi="黑体"/>
        </w:rPr>
        <w:t>T</w:t>
      </w:r>
      <w:r>
        <w:rPr>
          <w:rFonts w:hAnsi="黑体"/>
        </w:rPr>
        <w:t xml:space="preserve">/CSICE </w:t>
      </w:r>
      <w:r>
        <w:rPr>
          <w:rFonts w:hint="eastAsia" w:hAnsi="黑体"/>
        </w:rPr>
        <w:t>XXXX-</w:t>
      </w:r>
      <w:r>
        <w:rPr>
          <w:rFonts w:hAnsi="黑体"/>
        </w:rPr>
        <w:t>20</w:t>
      </w:r>
      <w:r>
        <w:rPr>
          <w:rFonts w:hint="eastAsia" w:hAnsi="黑体"/>
        </w:rPr>
        <w:t>XX</w:t>
      </w:r>
    </w:p>
    <w:p w14:paraId="70E499FA">
      <w:pPr>
        <w:pStyle w:val="34"/>
        <w:framePr w:wrap="around" w:y="3481"/>
      </w:pPr>
    </w:p>
    <w:p w14:paraId="0CF40D90">
      <w:pPr>
        <w:pStyle w:val="34"/>
        <w:framePr w:wrap="around" w:y="3481"/>
      </w:pPr>
    </w:p>
    <w:p w14:paraId="09B9013E">
      <w:pPr>
        <w:pStyle w:val="25"/>
        <w:ind w:firstLine="0" w:firstLineChars="0"/>
        <w:rPr>
          <w:rFonts w:hint="eastAsia" w:ascii="黑体" w:hAnsi="黑体" w:eastAsia="黑体"/>
        </w:rPr>
      </w:pPr>
      <w:r>
        <w:rPr>
          <w:rFonts w:ascii="黑体" w:hAnsi="黑体" w:eastAsia="黑体"/>
        </w:rPr>
        <w:t>CCS J 92</w:t>
      </w:r>
      <w:r>
        <w:rPr>
          <w:rFonts w:ascii="黑体" w:hAnsi="黑体" w:eastAsia="黑体"/>
        </w:rPr>
        <mc:AlternateContent>
          <mc:Choice Requires="wps">
            <w:drawing>
              <wp:anchor distT="0" distB="0" distL="114300" distR="114300" simplePos="0" relativeHeight="251660288" behindDoc="0" locked="0" layoutInCell="1" allowOverlap="1">
                <wp:simplePos x="0" y="0"/>
                <wp:positionH relativeFrom="column">
                  <wp:posOffset>-635</wp:posOffset>
                </wp:positionH>
                <wp:positionV relativeFrom="paragraph">
                  <wp:posOffset>2339975</wp:posOffset>
                </wp:positionV>
                <wp:extent cx="6120130" cy="0"/>
                <wp:effectExtent l="13970" t="12065" r="9525" b="6985"/>
                <wp:wrapNone/>
                <wp:docPr id="2" name="Line 1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1" o:spid="_x0000_s1026" o:spt="20" style="position:absolute;left:0pt;margin-left:-0.05pt;margin-top:184.25pt;height:0pt;width:481.9pt;z-index:251660288;mso-width-relative:page;mso-height-relative:page;" filled="f" stroked="t" coordsize="21600,21600"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CQeJf1wAAAAkBAAAPAAAAAAAAAAEAIAAAACIAAABkcnMvZG93&#10;bnJldi54bWxQSwECFAAUAAAACACHTuJA3SaJLsgBAACgAwAADgAAAAAAAAABACAAAAAmAQAAZHJz&#10;L2Uyb0RvYy54bWxQSwUGAAAAAAYABgBZAQAAYAUAAAAA&#10;">
                <v:fill on="f" focussize="0,0"/>
                <v:stroke color="#000000" joinstyle="round"/>
                <v:imagedata o:title=""/>
                <o:lock v:ext="edit" aspectratio="f"/>
              </v:line>
            </w:pict>
          </mc:Fallback>
        </mc:AlternateContent>
      </w:r>
    </w:p>
    <w:p w14:paraId="7F28C8A2">
      <w:pPr>
        <w:pStyle w:val="25"/>
        <w:ind w:firstLine="420"/>
        <w:rPr>
          <w:rFonts w:hint="eastAsia"/>
        </w:rPr>
        <w:sectPr>
          <w:headerReference r:id="rId4" w:type="first"/>
          <w:headerReference r:id="rId3" w:type="even"/>
          <w:footerReference r:id="rId5" w:type="even"/>
          <w:pgSz w:w="11906" w:h="16838"/>
          <w:pgMar w:top="923" w:right="1134" w:bottom="1134" w:left="1418" w:header="567" w:footer="1134" w:gutter="0"/>
          <w:cols w:space="425" w:num="1"/>
          <w:titlePg/>
          <w:docGrid w:type="lines" w:linePitch="312" w:charSpace="0"/>
        </w:sectPr>
      </w:pPr>
      <w:r>
        <mc:AlternateContent>
          <mc:Choice Requires="wps">
            <w:drawing>
              <wp:anchor distT="0" distB="0" distL="114300" distR="114300" simplePos="0" relativeHeight="251661312" behindDoc="0" locked="1" layoutInCell="1" allowOverlap="1">
                <wp:simplePos x="0" y="0"/>
                <wp:positionH relativeFrom="column">
                  <wp:posOffset>-635</wp:posOffset>
                </wp:positionH>
                <wp:positionV relativeFrom="page">
                  <wp:posOffset>9251950</wp:posOffset>
                </wp:positionV>
                <wp:extent cx="6120130" cy="0"/>
                <wp:effectExtent l="0" t="0" r="0" b="0"/>
                <wp:wrapNone/>
                <wp:docPr id="1"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0.05pt;margin-top:728.5pt;height:0pt;width:481.9pt;mso-position-vertical-relative:page;z-index:251661312;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">
                <v:fill on="f" focussize="0,0"/>
                <v:stroke color="#000000" joinstyle="round"/>
                <v:imagedata o:title=""/>
                <o:lock v:ext="edit" aspectratio="f"/>
                <w10:anchorlock/>
              </v:line>
            </w:pict>
          </mc:Fallback>
        </mc:AlternateContent>
      </w:r>
      <w:r>
        <w:t xml:space="preserve"> </w:t>
      </w:r>
    </w:p>
    <w:p w14:paraId="2C07C8D2">
      <w:pPr>
        <w:pStyle w:val="37"/>
      </w:pPr>
    </w:p>
    <w:p w14:paraId="7A5B88A6">
      <w:pPr>
        <w:pStyle w:val="25"/>
        <w:ind w:firstLine="420"/>
        <w:rPr>
          <w:rFonts w:hint="eastAsia"/>
        </w:rPr>
        <w:sectPr>
          <w:headerReference r:id="rId7" w:type="first"/>
          <w:footerReference r:id="rId9" w:type="first"/>
          <w:headerReference r:id="rId6" w:type="default"/>
          <w:footerReference r:id="rId8" w:type="default"/>
          <w:pgSz w:w="11906" w:h="16838"/>
          <w:pgMar w:top="1418" w:right="1134" w:bottom="1134" w:left="1418" w:header="1418" w:footer="1134" w:gutter="0"/>
          <w:pgNumType w:fmt="upperRoman" w:start="1"/>
          <w:cols w:space="425" w:num="1"/>
          <w:titlePg/>
          <w:docGrid w:type="lines" w:linePitch="312" w:charSpace="0"/>
        </w:sectPr>
      </w:pPr>
    </w:p>
    <w:p w14:paraId="15B445D4">
      <w:pPr>
        <w:pStyle w:val="41"/>
        <w:rPr>
          <w:rFonts w:hint="eastAsia"/>
        </w:rPr>
      </w:pPr>
      <w:bookmarkStart w:id="1" w:name="_Toc198644988"/>
      <w:bookmarkStart w:id="2" w:name="_Toc198646020"/>
      <w:bookmarkStart w:id="3" w:name="_Toc198645075"/>
      <w:r>
        <w:rPr>
          <w:rFonts w:hint="eastAsia"/>
        </w:rPr>
        <w:t>目　　次</w:t>
      </w:r>
      <w:bookmarkEnd w:id="1"/>
      <w:bookmarkEnd w:id="2"/>
      <w:bookmarkEnd w:id="3"/>
    </w:p>
    <w:p w14:paraId="09A21580">
      <w:pPr>
        <w:pStyle w:val="13"/>
        <w:tabs>
          <w:tab w:val="right" w:leader="dot" w:pos="9354"/>
          <w:tab w:val="clear" w:pos="9344"/>
        </w:tabs>
      </w:pPr>
      <w:r>
        <w:fldChar w:fldCharType="begin"/>
      </w:r>
      <w:r>
        <w:instrText xml:space="preserve"> TOC \o "1-3" \h \z \u </w:instrText>
      </w:r>
      <w:r>
        <w:fldChar w:fldCharType="separate"/>
      </w:r>
      <w:r>
        <w:fldChar w:fldCharType="begin"/>
      </w:r>
      <w:r>
        <w:instrText xml:space="preserve"> HYPERLINK \l _Toc14317 </w:instrText>
      </w:r>
      <w:r>
        <w:fldChar w:fldCharType="separate"/>
      </w:r>
      <w:r>
        <w:rPr>
          <w:rFonts w:hint="eastAsia"/>
        </w:rPr>
        <w:t>前</w:t>
      </w:r>
      <w:r>
        <w:rPr>
          <w:rFonts w:hAnsi="黑体"/>
        </w:rPr>
        <w:t>  </w:t>
      </w:r>
      <w:r>
        <w:rPr>
          <w:rFonts w:hint="eastAsia"/>
        </w:rPr>
        <w:t>言</w:t>
      </w:r>
      <w:r>
        <w:tab/>
      </w:r>
      <w:r>
        <w:fldChar w:fldCharType="begin"/>
      </w:r>
      <w:r>
        <w:instrText xml:space="preserve"> PAGEREF _Toc14317 \h </w:instrText>
      </w:r>
      <w:r>
        <w:fldChar w:fldCharType="separate"/>
      </w:r>
      <w:r>
        <w:t>II</w:t>
      </w:r>
      <w:r>
        <w:fldChar w:fldCharType="end"/>
      </w:r>
      <w:r>
        <w:fldChar w:fldCharType="end"/>
      </w:r>
    </w:p>
    <w:p w14:paraId="39F30C6F">
      <w:pPr>
        <w:pStyle w:val="13"/>
        <w:tabs>
          <w:tab w:val="right" w:leader="dot" w:pos="9354"/>
          <w:tab w:val="clear" w:pos="9344"/>
        </w:tabs>
      </w:pPr>
      <w:r>
        <w:fldChar w:fldCharType="begin"/>
      </w:r>
      <w:r>
        <w:instrText xml:space="preserve"> HYPERLINK \l _Toc8237 </w:instrText>
      </w:r>
      <w:r>
        <w:fldChar w:fldCharType="separate"/>
      </w:r>
      <w:r>
        <w:rPr>
          <w:rFonts w:hint="eastAsia"/>
        </w:rPr>
        <w:t>1　范围</w:t>
      </w:r>
      <w:r>
        <w:tab/>
      </w:r>
      <w:r>
        <w:fldChar w:fldCharType="begin"/>
      </w:r>
      <w:r>
        <w:instrText xml:space="preserve"> PAGEREF _Toc8237 \h </w:instrText>
      </w:r>
      <w:r>
        <w:fldChar w:fldCharType="separate"/>
      </w:r>
      <w:r>
        <w:t>1</w:t>
      </w:r>
      <w:r>
        <w:fldChar w:fldCharType="end"/>
      </w:r>
      <w:r>
        <w:fldChar w:fldCharType="end"/>
      </w:r>
    </w:p>
    <w:p w14:paraId="68CDD06D">
      <w:pPr>
        <w:pStyle w:val="13"/>
        <w:tabs>
          <w:tab w:val="right" w:leader="dot" w:pos="9354"/>
          <w:tab w:val="clear" w:pos="9344"/>
        </w:tabs>
      </w:pPr>
      <w:r>
        <w:fldChar w:fldCharType="begin"/>
      </w:r>
      <w:r>
        <w:instrText xml:space="preserve"> HYPERLINK \l _Toc3176 </w:instrText>
      </w:r>
      <w:r>
        <w:fldChar w:fldCharType="separate"/>
      </w:r>
      <w:r>
        <w:rPr>
          <w:rFonts w:hint="eastAsia"/>
        </w:rPr>
        <w:t>2　规范性引用文件</w:t>
      </w:r>
      <w:r>
        <w:tab/>
      </w:r>
      <w:r>
        <w:fldChar w:fldCharType="begin"/>
      </w:r>
      <w:r>
        <w:instrText xml:space="preserve"> PAGEREF _Toc3176 \h </w:instrText>
      </w:r>
      <w:r>
        <w:fldChar w:fldCharType="separate"/>
      </w:r>
      <w:r>
        <w:t>1</w:t>
      </w:r>
      <w:r>
        <w:fldChar w:fldCharType="end"/>
      </w:r>
      <w:r>
        <w:fldChar w:fldCharType="end"/>
      </w:r>
    </w:p>
    <w:p w14:paraId="73F66194">
      <w:pPr>
        <w:pStyle w:val="13"/>
        <w:tabs>
          <w:tab w:val="right" w:leader="dot" w:pos="9354"/>
          <w:tab w:val="clear" w:pos="9344"/>
        </w:tabs>
      </w:pPr>
      <w:r>
        <w:fldChar w:fldCharType="begin"/>
      </w:r>
      <w:r>
        <w:instrText xml:space="preserve"> HYPERLINK \l _Toc11254 </w:instrText>
      </w:r>
      <w:r>
        <w:fldChar w:fldCharType="separate"/>
      </w:r>
      <w:r>
        <w:rPr>
          <w:rFonts w:hint="eastAsia"/>
        </w:rPr>
        <w:t>3　术语和定义</w:t>
      </w:r>
      <w:r>
        <w:tab/>
      </w:r>
      <w:r>
        <w:fldChar w:fldCharType="begin"/>
      </w:r>
      <w:r>
        <w:instrText xml:space="preserve"> PAGEREF _Toc11254 \h </w:instrText>
      </w:r>
      <w:r>
        <w:fldChar w:fldCharType="separate"/>
      </w:r>
      <w:r>
        <w:t>1</w:t>
      </w:r>
      <w:r>
        <w:fldChar w:fldCharType="end"/>
      </w:r>
      <w:r>
        <w:fldChar w:fldCharType="end"/>
      </w:r>
    </w:p>
    <w:p w14:paraId="3669E71E">
      <w:pPr>
        <w:pStyle w:val="13"/>
        <w:tabs>
          <w:tab w:val="right" w:leader="dot" w:pos="9354"/>
          <w:tab w:val="clear" w:pos="9344"/>
        </w:tabs>
      </w:pPr>
      <w:r>
        <w:fldChar w:fldCharType="begin"/>
      </w:r>
      <w:r>
        <w:instrText xml:space="preserve"> HYPERLINK \l _Toc26367 </w:instrText>
      </w:r>
      <w:r>
        <w:fldChar w:fldCharType="separate"/>
      </w:r>
      <w:r>
        <w:rPr>
          <w:rFonts w:hint="eastAsia"/>
        </w:rPr>
        <w:t>4　技术要求</w:t>
      </w:r>
      <w:r>
        <w:tab/>
      </w:r>
      <w:r>
        <w:fldChar w:fldCharType="begin"/>
      </w:r>
      <w:r>
        <w:instrText xml:space="preserve"> PAGEREF _Toc26367 \h </w:instrText>
      </w:r>
      <w:r>
        <w:fldChar w:fldCharType="separate"/>
      </w:r>
      <w:r>
        <w:t>2</w:t>
      </w:r>
      <w:r>
        <w:fldChar w:fldCharType="end"/>
      </w:r>
      <w:r>
        <w:fldChar w:fldCharType="end"/>
      </w:r>
    </w:p>
    <w:p w14:paraId="35436101">
      <w:pPr>
        <w:pStyle w:val="14"/>
        <w:tabs>
          <w:tab w:val="right" w:leader="dot" w:pos="9354"/>
        </w:tabs>
      </w:pPr>
      <w:r>
        <w:fldChar w:fldCharType="begin"/>
      </w:r>
      <w:r>
        <w:instrText xml:space="preserve"> HYPERLINK \l _Toc21881 </w:instrText>
      </w:r>
      <w:r>
        <w:fldChar w:fldCharType="separate"/>
      </w:r>
      <w:r>
        <w:rPr>
          <w:rFonts w:hint="eastAsia"/>
        </w:rPr>
        <w:t>4.1　一般要求</w:t>
      </w:r>
      <w:r>
        <w:tab/>
      </w:r>
      <w:r>
        <w:fldChar w:fldCharType="begin"/>
      </w:r>
      <w:r>
        <w:instrText xml:space="preserve"> PAGEREF _Toc21881 \h </w:instrText>
      </w:r>
      <w:r>
        <w:fldChar w:fldCharType="separate"/>
      </w:r>
      <w:r>
        <w:t>2</w:t>
      </w:r>
      <w:r>
        <w:fldChar w:fldCharType="end"/>
      </w:r>
      <w:r>
        <w:fldChar w:fldCharType="end"/>
      </w:r>
    </w:p>
    <w:p w14:paraId="51FA151D">
      <w:pPr>
        <w:pStyle w:val="14"/>
        <w:tabs>
          <w:tab w:val="right" w:leader="dot" w:pos="9354"/>
        </w:tabs>
      </w:pPr>
      <w:r>
        <w:fldChar w:fldCharType="begin"/>
      </w:r>
      <w:r>
        <w:instrText xml:space="preserve"> HYPERLINK \l _Toc9529 </w:instrText>
      </w:r>
      <w:r>
        <w:fldChar w:fldCharType="separate"/>
      </w:r>
      <w:r>
        <w:t>4.</w:t>
      </w:r>
      <w:r>
        <w:rPr>
          <w:rFonts w:hint="eastAsia"/>
        </w:rPr>
        <w:t>2　高原性能要求</w:t>
      </w:r>
      <w:r>
        <w:tab/>
      </w:r>
      <w:r>
        <w:fldChar w:fldCharType="begin"/>
      </w:r>
      <w:r>
        <w:instrText xml:space="preserve"> PAGEREF _Toc9529 \h </w:instrText>
      </w:r>
      <w:r>
        <w:fldChar w:fldCharType="separate"/>
      </w:r>
      <w:r>
        <w:t>2</w:t>
      </w:r>
      <w:r>
        <w:fldChar w:fldCharType="end"/>
      </w:r>
      <w:r>
        <w:fldChar w:fldCharType="end"/>
      </w:r>
    </w:p>
    <w:p w14:paraId="6314D225">
      <w:pPr>
        <w:pStyle w:val="14"/>
        <w:tabs>
          <w:tab w:val="right" w:leader="dot" w:pos="9354"/>
        </w:tabs>
      </w:pPr>
      <w:r>
        <w:fldChar w:fldCharType="begin"/>
      </w:r>
      <w:r>
        <w:instrText xml:space="preserve"> HYPERLINK \l _Toc13983 </w:instrText>
      </w:r>
      <w:r>
        <w:fldChar w:fldCharType="separate"/>
      </w:r>
      <w:r>
        <w:t>4.</w:t>
      </w:r>
      <w:r>
        <w:rPr>
          <w:rFonts w:hint="eastAsia"/>
        </w:rPr>
        <w:t>3　高原可靠性要求</w:t>
      </w:r>
      <w:r>
        <w:tab/>
      </w:r>
      <w:r>
        <w:fldChar w:fldCharType="begin"/>
      </w:r>
      <w:r>
        <w:instrText xml:space="preserve"> PAGEREF _Toc13983 \h </w:instrText>
      </w:r>
      <w:r>
        <w:fldChar w:fldCharType="separate"/>
      </w:r>
      <w:r>
        <w:t>3</w:t>
      </w:r>
      <w:r>
        <w:fldChar w:fldCharType="end"/>
      </w:r>
      <w:r>
        <w:fldChar w:fldCharType="end"/>
      </w:r>
    </w:p>
    <w:p w14:paraId="543994F7">
      <w:pPr>
        <w:pStyle w:val="14"/>
        <w:tabs>
          <w:tab w:val="right" w:leader="dot" w:pos="9354"/>
        </w:tabs>
      </w:pPr>
      <w:r>
        <w:fldChar w:fldCharType="begin"/>
      </w:r>
      <w:r>
        <w:instrText xml:space="preserve"> HYPERLINK \l _Toc18930 </w:instrText>
      </w:r>
      <w:r>
        <w:fldChar w:fldCharType="separate"/>
      </w:r>
      <w:r>
        <w:rPr>
          <w:rFonts w:hint="eastAsia"/>
        </w:rPr>
        <w:t>4.4　安全性要求</w:t>
      </w:r>
      <w:r>
        <w:tab/>
      </w:r>
      <w:r>
        <w:fldChar w:fldCharType="begin"/>
      </w:r>
      <w:r>
        <w:instrText xml:space="preserve"> PAGEREF _Toc18930 \h </w:instrText>
      </w:r>
      <w:r>
        <w:fldChar w:fldCharType="separate"/>
      </w:r>
      <w:r>
        <w:t>3</w:t>
      </w:r>
      <w:r>
        <w:fldChar w:fldCharType="end"/>
      </w:r>
      <w:r>
        <w:fldChar w:fldCharType="end"/>
      </w:r>
    </w:p>
    <w:p w14:paraId="563BB640">
      <w:pPr>
        <w:pStyle w:val="13"/>
        <w:tabs>
          <w:tab w:val="right" w:leader="dot" w:pos="9354"/>
          <w:tab w:val="clear" w:pos="9344"/>
        </w:tabs>
      </w:pPr>
      <w:r>
        <w:fldChar w:fldCharType="begin"/>
      </w:r>
      <w:r>
        <w:instrText xml:space="preserve"> HYPERLINK \l _Toc7448 </w:instrText>
      </w:r>
      <w:r>
        <w:fldChar w:fldCharType="separate"/>
      </w:r>
      <w:r>
        <w:rPr>
          <w:rFonts w:hint="eastAsia"/>
        </w:rPr>
        <w:t>5　试验方法</w:t>
      </w:r>
      <w:r>
        <w:tab/>
      </w:r>
      <w:r>
        <w:fldChar w:fldCharType="begin"/>
      </w:r>
      <w:r>
        <w:instrText xml:space="preserve"> PAGEREF _Toc7448 \h </w:instrText>
      </w:r>
      <w:r>
        <w:fldChar w:fldCharType="separate"/>
      </w:r>
      <w:r>
        <w:t>3</w:t>
      </w:r>
      <w:r>
        <w:fldChar w:fldCharType="end"/>
      </w:r>
      <w:r>
        <w:fldChar w:fldCharType="end"/>
      </w:r>
    </w:p>
    <w:p w14:paraId="67A3EC82">
      <w:pPr>
        <w:pStyle w:val="13"/>
        <w:tabs>
          <w:tab w:val="right" w:leader="dot" w:pos="9354"/>
          <w:tab w:val="clear" w:pos="9344"/>
        </w:tabs>
      </w:pPr>
      <w:r>
        <w:fldChar w:fldCharType="begin"/>
      </w:r>
      <w:r>
        <w:instrText xml:space="preserve"> HYPERLINK \l _Toc4404 </w:instrText>
      </w:r>
      <w:r>
        <w:fldChar w:fldCharType="separate"/>
      </w:r>
      <w:r>
        <w:rPr>
          <w:rFonts w:hint="eastAsia"/>
        </w:rPr>
        <w:t>6　检验规则</w:t>
      </w:r>
      <w:r>
        <w:tab/>
      </w:r>
      <w:r>
        <w:fldChar w:fldCharType="begin"/>
      </w:r>
      <w:r>
        <w:instrText xml:space="preserve"> PAGEREF _Toc4404 \h </w:instrText>
      </w:r>
      <w:r>
        <w:fldChar w:fldCharType="separate"/>
      </w:r>
      <w:r>
        <w:t>4</w:t>
      </w:r>
      <w:r>
        <w:fldChar w:fldCharType="end"/>
      </w:r>
      <w:r>
        <w:fldChar w:fldCharType="end"/>
      </w:r>
    </w:p>
    <w:p w14:paraId="4B578802">
      <w:pPr>
        <w:pStyle w:val="14"/>
        <w:tabs>
          <w:tab w:val="right" w:leader="dot" w:pos="9354"/>
        </w:tabs>
      </w:pPr>
      <w:r>
        <w:fldChar w:fldCharType="begin"/>
      </w:r>
      <w:r>
        <w:instrText xml:space="preserve"> HYPERLINK \l _Toc28004 </w:instrText>
      </w:r>
      <w:r>
        <w:fldChar w:fldCharType="separate"/>
      </w:r>
      <w:r>
        <w:rPr>
          <w:rFonts w:hint="eastAsia"/>
        </w:rPr>
        <w:t>6.1　试验项目</w:t>
      </w:r>
      <w:r>
        <w:tab/>
      </w:r>
      <w:r>
        <w:fldChar w:fldCharType="begin"/>
      </w:r>
      <w:r>
        <w:instrText xml:space="preserve"> PAGEREF _Toc28004 \h </w:instrText>
      </w:r>
      <w:r>
        <w:fldChar w:fldCharType="separate"/>
      </w:r>
      <w:r>
        <w:t>4</w:t>
      </w:r>
      <w:r>
        <w:fldChar w:fldCharType="end"/>
      </w:r>
      <w:r>
        <w:fldChar w:fldCharType="end"/>
      </w:r>
    </w:p>
    <w:p w14:paraId="78028BB9">
      <w:pPr>
        <w:pStyle w:val="14"/>
        <w:tabs>
          <w:tab w:val="right" w:leader="dot" w:pos="9354"/>
        </w:tabs>
      </w:pPr>
      <w:r>
        <w:fldChar w:fldCharType="begin"/>
      </w:r>
      <w:r>
        <w:instrText xml:space="preserve"> HYPERLINK \l _Toc27576 </w:instrText>
      </w:r>
      <w:r>
        <w:fldChar w:fldCharType="separate"/>
      </w:r>
      <w:r>
        <w:rPr>
          <w:rFonts w:hint="eastAsia"/>
        </w:rPr>
        <w:t>6.2　型式试验</w:t>
      </w:r>
      <w:r>
        <w:tab/>
      </w:r>
      <w:r>
        <w:fldChar w:fldCharType="begin"/>
      </w:r>
      <w:r>
        <w:instrText xml:space="preserve"> PAGEREF _Toc27576 \h </w:instrText>
      </w:r>
      <w:r>
        <w:fldChar w:fldCharType="separate"/>
      </w:r>
      <w:r>
        <w:t>4</w:t>
      </w:r>
      <w:r>
        <w:fldChar w:fldCharType="end"/>
      </w:r>
      <w:r>
        <w:fldChar w:fldCharType="end"/>
      </w:r>
    </w:p>
    <w:p w14:paraId="5E56B247">
      <w:pPr>
        <w:pStyle w:val="14"/>
        <w:tabs>
          <w:tab w:val="right" w:leader="dot" w:pos="9354"/>
        </w:tabs>
      </w:pPr>
      <w:r>
        <w:fldChar w:fldCharType="begin"/>
      </w:r>
      <w:r>
        <w:instrText xml:space="preserve"> HYPERLINK \l _Toc17091 </w:instrText>
      </w:r>
      <w:r>
        <w:fldChar w:fldCharType="separate"/>
      </w:r>
      <w:r>
        <w:rPr>
          <w:rFonts w:hint="eastAsia"/>
        </w:rPr>
        <w:t>6.3　出厂检验</w:t>
      </w:r>
      <w:r>
        <w:tab/>
      </w:r>
      <w:r>
        <w:fldChar w:fldCharType="begin"/>
      </w:r>
      <w:r>
        <w:instrText xml:space="preserve"> PAGEREF _Toc17091 \h </w:instrText>
      </w:r>
      <w:r>
        <w:fldChar w:fldCharType="separate"/>
      </w:r>
      <w:r>
        <w:t>4</w:t>
      </w:r>
      <w:r>
        <w:fldChar w:fldCharType="end"/>
      </w:r>
      <w:r>
        <w:fldChar w:fldCharType="end"/>
      </w:r>
    </w:p>
    <w:p w14:paraId="61B42A00">
      <w:pPr>
        <w:pStyle w:val="14"/>
        <w:tabs>
          <w:tab w:val="right" w:leader="dot" w:pos="9354"/>
        </w:tabs>
      </w:pPr>
      <w:r>
        <w:fldChar w:fldCharType="begin"/>
      </w:r>
      <w:r>
        <w:instrText xml:space="preserve"> HYPERLINK \l _Toc26492 </w:instrText>
      </w:r>
      <w:r>
        <w:fldChar w:fldCharType="separate"/>
      </w:r>
      <w:r>
        <w:rPr>
          <w:rFonts w:hint="eastAsia"/>
        </w:rPr>
        <w:t>6.4　质量抽查</w:t>
      </w:r>
      <w:r>
        <w:tab/>
      </w:r>
      <w:r>
        <w:fldChar w:fldCharType="begin"/>
      </w:r>
      <w:r>
        <w:instrText xml:space="preserve"> PAGEREF _Toc26492 \h </w:instrText>
      </w:r>
      <w:r>
        <w:fldChar w:fldCharType="separate"/>
      </w:r>
      <w:r>
        <w:t>5</w:t>
      </w:r>
      <w:r>
        <w:fldChar w:fldCharType="end"/>
      </w:r>
      <w:r>
        <w:fldChar w:fldCharType="end"/>
      </w:r>
    </w:p>
    <w:p w14:paraId="5230C086">
      <w:pPr>
        <w:pStyle w:val="13"/>
        <w:tabs>
          <w:tab w:val="right" w:leader="dot" w:pos="9354"/>
          <w:tab w:val="clear" w:pos="9344"/>
        </w:tabs>
      </w:pPr>
      <w:r>
        <w:fldChar w:fldCharType="begin"/>
      </w:r>
      <w:r>
        <w:instrText xml:space="preserve"> HYPERLINK \l _Toc23539 </w:instrText>
      </w:r>
      <w:r>
        <w:fldChar w:fldCharType="separate"/>
      </w:r>
      <w:r>
        <w:rPr>
          <w:rFonts w:hint="eastAsia"/>
        </w:rPr>
        <w:t>7　标志、包装、运输、贮存</w:t>
      </w:r>
      <w:bookmarkStart w:id="52" w:name="_GoBack"/>
      <w:bookmarkEnd w:id="52"/>
      <w:r>
        <w:tab/>
      </w:r>
      <w:r>
        <w:fldChar w:fldCharType="begin"/>
      </w:r>
      <w:r>
        <w:instrText xml:space="preserve"> PAGEREF _Toc23539 \h </w:instrText>
      </w:r>
      <w:r>
        <w:fldChar w:fldCharType="separate"/>
      </w:r>
      <w:r>
        <w:t>5</w:t>
      </w:r>
      <w:r>
        <w:fldChar w:fldCharType="end"/>
      </w:r>
      <w:r>
        <w:fldChar w:fldCharType="end"/>
      </w:r>
    </w:p>
    <w:p w14:paraId="45E095C0">
      <w:pPr>
        <w:pStyle w:val="13"/>
        <w:tabs>
          <w:tab w:val="right" w:leader="dot" w:pos="9354"/>
          <w:tab w:val="clear" w:pos="9344"/>
        </w:tabs>
      </w:pPr>
      <w:r>
        <w:fldChar w:fldCharType="begin"/>
      </w:r>
      <w:r>
        <w:instrText xml:space="preserve"> HYPERLINK \l _Toc30234 </w:instrText>
      </w:r>
      <w:r>
        <w:fldChar w:fldCharType="separate"/>
      </w:r>
      <w:r>
        <w:rPr>
          <w:rFonts w:hint="eastAsia"/>
        </w:rPr>
        <w:t>附录A</w:t>
      </w:r>
      <w:r>
        <w:rPr>
          <w:rFonts w:hint="eastAsia" w:ascii="宋体" w:hAnsi="宋体" w:eastAsia="宋体" w:cs="宋体"/>
          <w:szCs w:val="21"/>
        </w:rPr>
        <w:t>（规范性） 注意事项</w:t>
      </w:r>
      <w:r>
        <w:tab/>
      </w:r>
      <w:r>
        <w:fldChar w:fldCharType="begin"/>
      </w:r>
      <w:r>
        <w:instrText xml:space="preserve"> PAGEREF _Toc30234 \h </w:instrText>
      </w:r>
      <w:r>
        <w:fldChar w:fldCharType="separate"/>
      </w:r>
      <w:r>
        <w:t>6</w:t>
      </w:r>
      <w:r>
        <w:fldChar w:fldCharType="end"/>
      </w:r>
      <w:r>
        <w:fldChar w:fldCharType="end"/>
      </w:r>
    </w:p>
    <w:p w14:paraId="08CDD2F4">
      <w:pPr>
        <w:pStyle w:val="37"/>
      </w:pPr>
      <w:r>
        <w:fldChar w:fldCharType="end"/>
      </w:r>
      <w:bookmarkStart w:id="4" w:name="_Toc4466"/>
      <w:bookmarkStart w:id="5" w:name="_Toc14317"/>
      <w:r>
        <w:rPr>
          <w:rFonts w:hint="eastAsia"/>
        </w:rPr>
        <w:t>前</w:t>
      </w:r>
      <w:r>
        <w:rPr>
          <w:rFonts w:hAnsi="黑体"/>
        </w:rPr>
        <w:t>  </w:t>
      </w:r>
      <w:r>
        <w:rPr>
          <w:rFonts w:hint="eastAsia"/>
        </w:rPr>
        <w:t>言</w:t>
      </w:r>
      <w:bookmarkEnd w:id="4"/>
      <w:bookmarkEnd w:id="5"/>
    </w:p>
    <w:p w14:paraId="5B22850D">
      <w:pPr>
        <w:pStyle w:val="25"/>
        <w:ind w:firstLine="420"/>
        <w:rPr>
          <w:rFonts w:hint="eastAsia"/>
        </w:rPr>
      </w:pPr>
      <w:r>
        <w:t>本文件按照GB/T 1.1—2020《标准化工作导则 第1部分：标准化文件的结构和起草规则》起草。</w:t>
      </w:r>
    </w:p>
    <w:p w14:paraId="56572498">
      <w:pPr>
        <w:pStyle w:val="25"/>
        <w:ind w:firstLine="420"/>
        <w:rPr>
          <w:rFonts w:hint="eastAsia"/>
        </w:rPr>
      </w:pPr>
      <w:r>
        <w:rPr>
          <w:rFonts w:hint="eastAsia"/>
        </w:rPr>
        <w:t>请注意本文件的某些内容可能涉及专利，本文件的发布机构不承担识别专利的责任。</w:t>
      </w:r>
    </w:p>
    <w:p w14:paraId="6823C6D0">
      <w:pPr>
        <w:pStyle w:val="25"/>
        <w:ind w:firstLine="420"/>
        <w:rPr>
          <w:rFonts w:hint="eastAsia"/>
        </w:rPr>
      </w:pPr>
      <w:r>
        <w:rPr>
          <w:rFonts w:hint="eastAsia"/>
        </w:rPr>
        <w:t>本文件由中国内燃机学会标准管理部提出。</w:t>
      </w:r>
    </w:p>
    <w:p w14:paraId="3F8F1379">
      <w:pPr>
        <w:pStyle w:val="25"/>
        <w:ind w:firstLine="420"/>
        <w:rPr>
          <w:rFonts w:hint="eastAsia"/>
        </w:rPr>
      </w:pPr>
      <w:r>
        <w:rPr>
          <w:rFonts w:hint="eastAsia"/>
        </w:rPr>
        <w:t>本文件由中国内燃机学会归口。</w:t>
      </w:r>
    </w:p>
    <w:p w14:paraId="6EEAD0BC">
      <w:pPr>
        <w:pStyle w:val="25"/>
        <w:ind w:firstLine="420"/>
        <w:rPr>
          <w:rFonts w:hint="eastAsia"/>
        </w:rPr>
      </w:pPr>
      <w:r>
        <w:rPr>
          <w:rFonts w:hint="eastAsia"/>
        </w:rPr>
        <w:t>本文件起草单位：</w:t>
      </w:r>
      <w:bookmarkStart w:id="6" w:name="OLE_LINK5"/>
      <w:r>
        <w:rPr>
          <w:rFonts w:hint="eastAsia"/>
        </w:rPr>
        <w:t>中汽研汽车检验中心（昆明）有限公司、XXX。</w:t>
      </w:r>
    </w:p>
    <w:bookmarkEnd w:id="6"/>
    <w:p w14:paraId="4156BCF3">
      <w:pPr>
        <w:pStyle w:val="25"/>
        <w:ind w:firstLine="420"/>
        <w:rPr>
          <w:rFonts w:hint="eastAsia"/>
        </w:rPr>
      </w:pPr>
      <w:r>
        <w:rPr>
          <w:rFonts w:hint="eastAsia"/>
        </w:rPr>
        <w:t>本文件主要起草人：XX、XX、XX、XX。</w:t>
      </w:r>
    </w:p>
    <w:p w14:paraId="379B8B79">
      <w:pPr>
        <w:pStyle w:val="25"/>
        <w:ind w:firstLine="420"/>
        <w:rPr>
          <w:rFonts w:hint="eastAsia"/>
        </w:rPr>
      </w:pPr>
      <w:r>
        <w:rPr>
          <w:rFonts w:hint="eastAsia"/>
        </w:rPr>
        <w:t>本文件于XXXX年首次发布。</w:t>
      </w:r>
    </w:p>
    <w:p w14:paraId="1120FEAD">
      <w:pPr>
        <w:rPr>
          <w:rFonts w:hint="eastAsia"/>
        </w:rPr>
        <w:sectPr>
          <w:headerReference r:id="rId10" w:type="first"/>
          <w:footerReference r:id="rId12" w:type="first"/>
          <w:footerReference r:id="rId11" w:type="even"/>
          <w:pgSz w:w="11906" w:h="16838"/>
          <w:pgMar w:top="1418" w:right="1134" w:bottom="1134" w:left="1418" w:header="1417" w:footer="1134" w:gutter="0"/>
          <w:pgNumType w:fmt="upperRoman" w:start="1"/>
          <w:cols w:space="425" w:num="1"/>
          <w:titlePg/>
          <w:docGrid w:type="lines" w:linePitch="312" w:charSpace="0"/>
        </w:sectPr>
      </w:pPr>
    </w:p>
    <w:p w14:paraId="3FB33535">
      <w:pPr>
        <w:pStyle w:val="41"/>
        <w:rPr>
          <w:rFonts w:hint="eastAsia"/>
        </w:rPr>
      </w:pPr>
      <w:r>
        <w:rPr>
          <w:rFonts w:hint="eastAsia"/>
        </w:rPr>
        <w:t>重型车用柴油机高原性能通用技术条件</w:t>
      </w:r>
    </w:p>
    <w:p w14:paraId="590D0F9D">
      <w:pPr>
        <w:pStyle w:val="25"/>
        <w:tabs>
          <w:tab w:val="center" w:pos="4201"/>
          <w:tab w:val="right" w:leader="dot" w:pos="9298"/>
        </w:tabs>
        <w:ind w:firstLine="420"/>
        <w:rPr>
          <w:rFonts w:hint="eastAsia"/>
        </w:rPr>
      </w:pPr>
      <w:r>
        <w:rPr>
          <w:rFonts w:hint="eastAsia" w:ascii="黑体" w:hAnsi="黑体" w:eastAsia="黑体"/>
        </w:rPr>
        <w:t>警告：本标准的应用可能涉及到某些有危险性的材料、操作和设备，但未对与此有关的所有安全问题都提出建议。因此，用户在使用本标准之前有责任制定相应的安全和防护措施（见附录A），并确定相关规章限制的适用性。</w:t>
      </w:r>
    </w:p>
    <w:p w14:paraId="651CE04F">
      <w:pPr>
        <w:pStyle w:val="39"/>
        <w:rPr>
          <w:rFonts w:hint="eastAsia"/>
        </w:rPr>
      </w:pPr>
      <w:bookmarkStart w:id="7" w:name="_Toc10656"/>
      <w:bookmarkStart w:id="8" w:name="_Toc8237"/>
      <w:r>
        <w:rPr>
          <w:rFonts w:hint="eastAsia"/>
        </w:rPr>
        <w:t>1　范围</w:t>
      </w:r>
      <w:bookmarkEnd w:id="7"/>
      <w:bookmarkEnd w:id="8"/>
    </w:p>
    <w:p w14:paraId="1FD63495">
      <w:pPr>
        <w:pStyle w:val="25"/>
        <w:ind w:firstLine="420"/>
        <w:rPr>
          <w:rFonts w:hint="eastAsia"/>
        </w:rPr>
      </w:pPr>
      <w:r>
        <w:rPr>
          <w:rFonts w:hint="eastAsia"/>
        </w:rPr>
        <w:t>本文件规定了重型车用柴油机在高海拔环境下的技术要求、试验方法、检验规则和标志、包装、运输、贮存。</w:t>
      </w:r>
    </w:p>
    <w:p w14:paraId="77ABF199">
      <w:pPr>
        <w:pStyle w:val="25"/>
        <w:ind w:firstLine="420"/>
        <w:rPr>
          <w:rFonts w:hint="eastAsia"/>
        </w:rPr>
      </w:pPr>
      <w:r>
        <w:rPr>
          <w:rFonts w:hint="eastAsia"/>
        </w:rPr>
        <w:t>本文件适用于重型车用柴油机。</w:t>
      </w:r>
    </w:p>
    <w:p w14:paraId="1A6060A3">
      <w:pPr>
        <w:pStyle w:val="39"/>
        <w:rPr>
          <w:rFonts w:hint="eastAsia"/>
        </w:rPr>
      </w:pPr>
      <w:bookmarkStart w:id="9" w:name="_Toc3176"/>
      <w:bookmarkStart w:id="10" w:name="_Toc32552"/>
      <w:r>
        <w:rPr>
          <w:rFonts w:hint="eastAsia"/>
        </w:rPr>
        <w:t>2　规范性引用文件</w:t>
      </w:r>
      <w:bookmarkEnd w:id="9"/>
      <w:bookmarkEnd w:id="10"/>
    </w:p>
    <w:p w14:paraId="7E680FF9">
      <w:pPr>
        <w:pStyle w:val="25"/>
        <w:ind w:firstLine="420"/>
        <w:rPr>
          <w:rFonts w:hint="eastAsia" w:cs="宋体"/>
          <w:szCs w:val="21"/>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939BD96">
      <w:pPr>
        <w:pStyle w:val="25"/>
        <w:ind w:firstLine="420"/>
        <w:rPr>
          <w:rFonts w:hint="eastAsia" w:cs="宋体"/>
          <w:szCs w:val="21"/>
        </w:rPr>
      </w:pPr>
      <w:r>
        <w:rPr>
          <w:rFonts w:hint="eastAsia" w:cs="宋体"/>
          <w:szCs w:val="21"/>
        </w:rPr>
        <w:t>GB/T 6809 往复式内燃机零部件和系统术语</w:t>
      </w:r>
    </w:p>
    <w:p w14:paraId="372B26B1">
      <w:pPr>
        <w:pStyle w:val="25"/>
        <w:ind w:firstLine="420"/>
        <w:rPr>
          <w:rFonts w:hint="eastAsia" w:cs="宋体"/>
          <w:szCs w:val="21"/>
        </w:rPr>
      </w:pPr>
      <w:r>
        <w:rPr>
          <w:rFonts w:hint="eastAsia" w:cs="宋体"/>
          <w:szCs w:val="21"/>
        </w:rPr>
        <w:t>GB 7258 机动车运行安全技术条件</w:t>
      </w:r>
    </w:p>
    <w:p w14:paraId="0D78303E">
      <w:pPr>
        <w:pStyle w:val="25"/>
        <w:ind w:firstLine="420"/>
        <w:rPr>
          <w:rFonts w:hint="eastAsia" w:cs="宋体"/>
          <w:szCs w:val="21"/>
        </w:rPr>
      </w:pPr>
      <w:r>
        <w:rPr>
          <w:rFonts w:hint="eastAsia" w:cs="宋体"/>
          <w:szCs w:val="21"/>
        </w:rPr>
        <w:t>GB 17691-2018 重型柴油车排放污染物排放限值及测量方法（中国第六阶段）</w:t>
      </w:r>
    </w:p>
    <w:p w14:paraId="56DF6921">
      <w:pPr>
        <w:pStyle w:val="25"/>
        <w:ind w:firstLine="420"/>
        <w:rPr>
          <w:rFonts w:hint="eastAsia" w:cs="宋体"/>
          <w:szCs w:val="21"/>
        </w:rPr>
      </w:pPr>
      <w:r>
        <w:rPr>
          <w:rFonts w:hint="eastAsia" w:cs="宋体"/>
          <w:szCs w:val="21"/>
        </w:rPr>
        <w:t>GB/T 17692-2024 汽车柴油机及驱动电机净功率测试方法</w:t>
      </w:r>
    </w:p>
    <w:p w14:paraId="53D0F014">
      <w:pPr>
        <w:pStyle w:val="25"/>
        <w:ind w:firstLine="420"/>
        <w:rPr>
          <w:rFonts w:hint="eastAsia" w:cs="宋体"/>
          <w:szCs w:val="21"/>
        </w:rPr>
      </w:pPr>
      <w:r>
        <w:rPr>
          <w:rFonts w:hint="eastAsia" w:cs="宋体"/>
          <w:szCs w:val="21"/>
        </w:rPr>
        <w:t>GB/T 18297-2024 汽车柴油机性能试验方法</w:t>
      </w:r>
    </w:p>
    <w:p w14:paraId="119707FC">
      <w:pPr>
        <w:pStyle w:val="25"/>
        <w:ind w:firstLine="420"/>
        <w:rPr>
          <w:rFonts w:hint="eastAsia" w:cs="宋体"/>
          <w:szCs w:val="21"/>
        </w:rPr>
      </w:pPr>
      <w:r>
        <w:rPr>
          <w:rFonts w:hint="eastAsia" w:cs="宋体"/>
          <w:szCs w:val="21"/>
        </w:rPr>
        <w:t>GB/T 19055-2024 汽车柴油机可靠性试验方法</w:t>
      </w:r>
    </w:p>
    <w:p w14:paraId="6A1A046B">
      <w:pPr>
        <w:pStyle w:val="25"/>
        <w:ind w:firstLine="420"/>
        <w:rPr>
          <w:rFonts w:hint="eastAsia" w:cs="宋体"/>
          <w:szCs w:val="21"/>
        </w:rPr>
      </w:pPr>
      <w:r>
        <w:rPr>
          <w:rFonts w:hint="eastAsia" w:cs="宋体"/>
          <w:szCs w:val="21"/>
        </w:rPr>
        <w:t>QC/T 901 汽车柴油机产品质量检验评定方法</w:t>
      </w:r>
    </w:p>
    <w:p w14:paraId="03286DB8">
      <w:pPr>
        <w:pStyle w:val="25"/>
        <w:ind w:firstLine="420"/>
        <w:rPr>
          <w:rFonts w:hint="eastAsia" w:cs="宋体"/>
          <w:szCs w:val="21"/>
        </w:rPr>
      </w:pPr>
      <w:r>
        <w:rPr>
          <w:rFonts w:hint="eastAsia" w:cs="宋体"/>
          <w:szCs w:val="21"/>
        </w:rPr>
        <w:t>QC/T 471 汽车柴油机</w:t>
      </w:r>
    </w:p>
    <w:p w14:paraId="4105CE16">
      <w:pPr>
        <w:pStyle w:val="25"/>
        <w:ind w:firstLine="420"/>
        <w:rPr>
          <w:rFonts w:hint="eastAsia" w:cs="宋体"/>
          <w:szCs w:val="21"/>
        </w:rPr>
      </w:pPr>
      <w:r>
        <w:rPr>
          <w:rFonts w:hint="eastAsia" w:cs="宋体"/>
          <w:szCs w:val="21"/>
        </w:rPr>
        <w:t>TCSICE 002-2023 重型车用柴油机污染物排放测量（高原）法</w:t>
      </w:r>
    </w:p>
    <w:p w14:paraId="16BFFC36">
      <w:pPr>
        <w:pStyle w:val="25"/>
        <w:ind w:firstLine="420"/>
        <w:rPr>
          <w:rFonts w:hint="eastAsia" w:cs="宋体"/>
          <w:szCs w:val="21"/>
        </w:rPr>
      </w:pPr>
      <w:r>
        <w:rPr>
          <w:rFonts w:hint="eastAsia" w:cs="宋体"/>
          <w:szCs w:val="21"/>
        </w:rPr>
        <w:t>XXX标准 柴油机高原冷起动及加载测试方法</w:t>
      </w:r>
    </w:p>
    <w:p w14:paraId="5E3B6268">
      <w:pPr>
        <w:pStyle w:val="25"/>
        <w:ind w:firstLine="420"/>
        <w:rPr>
          <w:rFonts w:hint="eastAsia" w:cs="宋体"/>
          <w:szCs w:val="21"/>
        </w:rPr>
      </w:pPr>
      <w:r>
        <w:rPr>
          <w:rFonts w:hint="eastAsia" w:cs="宋体"/>
          <w:szCs w:val="21"/>
        </w:rPr>
        <w:t>XXX标准 发动机进排气海拔模拟测试技术要求</w:t>
      </w:r>
    </w:p>
    <w:p w14:paraId="273B11DD">
      <w:pPr>
        <w:pStyle w:val="39"/>
        <w:rPr>
          <w:rFonts w:hint="eastAsia"/>
        </w:rPr>
      </w:pPr>
      <w:bookmarkStart w:id="11" w:name="_Toc11254"/>
      <w:bookmarkStart w:id="12" w:name="_Toc13061"/>
      <w:r>
        <w:rPr>
          <w:rFonts w:hint="eastAsia"/>
        </w:rPr>
        <w:t>3　术语和定义</w:t>
      </w:r>
      <w:bookmarkEnd w:id="11"/>
      <w:bookmarkEnd w:id="12"/>
    </w:p>
    <w:p w14:paraId="20291C36">
      <w:pPr>
        <w:pStyle w:val="25"/>
        <w:ind w:firstLine="420"/>
        <w:rPr>
          <w:rFonts w:hint="eastAsia"/>
        </w:rPr>
      </w:pPr>
      <w:r>
        <w:rPr>
          <w:rFonts w:hint="eastAsia"/>
        </w:rPr>
        <w:t>GB/T 6809界定的以及下列术语和定义适用于本文件。</w:t>
      </w:r>
    </w:p>
    <w:p w14:paraId="642BFDAF">
      <w:pPr>
        <w:pStyle w:val="38"/>
        <w:outlineLvl w:val="9"/>
        <w:rPr>
          <w:rFonts w:hint="eastAsia"/>
        </w:rPr>
      </w:pPr>
      <w:bookmarkStart w:id="13" w:name="_Toc198645760"/>
      <w:bookmarkStart w:id="14" w:name="_Toc198646096"/>
      <w:bookmarkStart w:id="15" w:name="_Toc198645608"/>
      <w:bookmarkStart w:id="16" w:name="_Toc198646025"/>
      <w:r>
        <w:rPr>
          <w:rFonts w:hint="eastAsia"/>
        </w:rPr>
        <w:t>3.1</w:t>
      </w:r>
      <w:bookmarkEnd w:id="13"/>
      <w:bookmarkEnd w:id="14"/>
      <w:bookmarkEnd w:id="15"/>
      <w:bookmarkEnd w:id="16"/>
      <w:r>
        <w:rPr>
          <w:rFonts w:hint="eastAsia"/>
        </w:rPr>
        <w:t>　</w:t>
      </w:r>
    </w:p>
    <w:p w14:paraId="06B01A04">
      <w:pPr>
        <w:pStyle w:val="27"/>
        <w:ind w:firstLine="420"/>
        <w:rPr>
          <w:rFonts w:hint="eastAsia"/>
        </w:rPr>
      </w:pPr>
      <w:r>
        <w:rPr>
          <w:rFonts w:hint="eastAsia"/>
        </w:rPr>
        <w:t>高海拔环境　high-altitude environment</w:t>
      </w:r>
    </w:p>
    <w:p w14:paraId="2CE2AD19">
      <w:pPr>
        <w:pStyle w:val="25"/>
        <w:ind w:firstLine="420"/>
        <w:rPr>
          <w:rFonts w:hint="eastAsia"/>
        </w:rPr>
      </w:pPr>
      <w:r>
        <w:rPr>
          <w:rFonts w:hint="eastAsia"/>
        </w:rPr>
        <w:t>指海拔在1500米到5600米的环境。</w:t>
      </w:r>
    </w:p>
    <w:p w14:paraId="0F1760EA">
      <w:pPr>
        <w:pStyle w:val="38"/>
        <w:outlineLvl w:val="9"/>
        <w:rPr>
          <w:rFonts w:hint="eastAsia"/>
        </w:rPr>
      </w:pPr>
      <w:r>
        <w:rPr>
          <w:rFonts w:hint="eastAsia"/>
        </w:rPr>
        <w:t>3.2　</w:t>
      </w:r>
    </w:p>
    <w:p w14:paraId="0EEDB9C4">
      <w:pPr>
        <w:pStyle w:val="27"/>
        <w:ind w:firstLine="420"/>
        <w:rPr>
          <w:rFonts w:hint="eastAsia"/>
        </w:rPr>
      </w:pPr>
      <w:r>
        <w:rPr>
          <w:rFonts w:hint="eastAsia"/>
        </w:rPr>
        <w:t>净功率衰减率　power attenuation rate</w:t>
      </w:r>
    </w:p>
    <w:p w14:paraId="50FC55FD">
      <w:pPr>
        <w:pStyle w:val="25"/>
        <w:ind w:firstLine="420"/>
        <w:rPr>
          <w:rFonts w:hint="eastAsia"/>
        </w:rPr>
      </w:pPr>
      <w:r>
        <w:rPr>
          <w:rFonts w:hint="eastAsia"/>
        </w:rPr>
        <w:t>柴油机在高海拔环境下测量的净功率相比标准大气下测量的净功率的降低比率。</w:t>
      </w:r>
    </w:p>
    <w:p w14:paraId="7B7BB72E">
      <w:pPr>
        <w:pStyle w:val="38"/>
        <w:outlineLvl w:val="9"/>
        <w:rPr>
          <w:rFonts w:hint="eastAsia"/>
        </w:rPr>
      </w:pPr>
      <w:r>
        <w:rPr>
          <w:rFonts w:hint="eastAsia"/>
        </w:rPr>
        <w:t>3.3　</w:t>
      </w:r>
    </w:p>
    <w:p w14:paraId="542F4B9B">
      <w:pPr>
        <w:pStyle w:val="27"/>
        <w:ind w:firstLine="420"/>
        <w:rPr>
          <w:rFonts w:hint="eastAsia"/>
        </w:rPr>
      </w:pPr>
      <w:r>
        <w:rPr>
          <w:rFonts w:hint="eastAsia"/>
        </w:rPr>
        <w:t>燃油消耗率劣化率　fuel consumption rate deterioration rate</w:t>
      </w:r>
    </w:p>
    <w:p w14:paraId="357468BA">
      <w:pPr>
        <w:pStyle w:val="25"/>
        <w:ind w:firstLine="420"/>
        <w:rPr>
          <w:rFonts w:hint="eastAsia"/>
        </w:rPr>
      </w:pPr>
      <w:r>
        <w:rPr>
          <w:rFonts w:hint="eastAsia"/>
        </w:rPr>
        <w:t>柴油机在高海拔环境下测量的燃油消耗率相比标准大气下测量的燃油消耗率的升高比率。</w:t>
      </w:r>
    </w:p>
    <w:p w14:paraId="4DE2853B">
      <w:pPr>
        <w:pStyle w:val="39"/>
        <w:rPr>
          <w:rFonts w:hint="eastAsia"/>
        </w:rPr>
      </w:pPr>
      <w:bookmarkStart w:id="17" w:name="_Toc511374136"/>
      <w:bookmarkStart w:id="18" w:name="_Toc3585"/>
      <w:bookmarkStart w:id="19" w:name="_Toc26367"/>
      <w:r>
        <w:rPr>
          <w:rFonts w:hint="eastAsia"/>
        </w:rPr>
        <w:t>4</w:t>
      </w:r>
      <w:bookmarkEnd w:id="17"/>
      <w:r>
        <w:rPr>
          <w:rFonts w:hint="eastAsia"/>
        </w:rPr>
        <w:t>　技术要求</w:t>
      </w:r>
      <w:bookmarkEnd w:id="18"/>
      <w:bookmarkEnd w:id="19"/>
    </w:p>
    <w:p w14:paraId="061E043A">
      <w:pPr>
        <w:pStyle w:val="38"/>
        <w:rPr>
          <w:rFonts w:hint="eastAsia"/>
        </w:rPr>
      </w:pPr>
      <w:bookmarkStart w:id="20" w:name="_Toc21881"/>
      <w:bookmarkStart w:id="21" w:name="_Toc7555"/>
      <w:r>
        <w:rPr>
          <w:rFonts w:hint="eastAsia"/>
        </w:rPr>
        <w:t>4.1　一般要求</w:t>
      </w:r>
      <w:bookmarkEnd w:id="20"/>
      <w:bookmarkEnd w:id="21"/>
    </w:p>
    <w:p w14:paraId="4894C5BD">
      <w:pPr>
        <w:pStyle w:val="25"/>
        <w:ind w:firstLine="0" w:firstLineChars="0"/>
        <w:rPr>
          <w:rFonts w:hint="eastAsia"/>
        </w:rPr>
      </w:pPr>
      <w:r>
        <w:rPr>
          <w:rFonts w:hint="eastAsia" w:ascii="黑体" w:hAnsi="黑体" w:eastAsia="黑体"/>
        </w:rPr>
        <w:t>4.1.1</w:t>
      </w:r>
      <w:r>
        <w:rPr>
          <w:rFonts w:hint="eastAsia"/>
        </w:rPr>
        <w:t>　车用柴油机总成、零部件，应按经规定程序批准的图样和技术文件制造，并符合本文件的规定。</w:t>
      </w:r>
    </w:p>
    <w:p w14:paraId="0E72C4FF">
      <w:pPr>
        <w:pStyle w:val="25"/>
        <w:ind w:firstLine="0" w:firstLineChars="0"/>
        <w:rPr>
          <w:rFonts w:hint="eastAsia"/>
        </w:rPr>
      </w:pPr>
      <w:r>
        <w:rPr>
          <w:rFonts w:hint="eastAsia" w:ascii="黑体" w:hAnsi="黑体" w:eastAsia="黑体"/>
        </w:rPr>
        <w:t>4.1.2</w:t>
      </w:r>
      <w:r>
        <w:rPr>
          <w:rFonts w:hint="eastAsia"/>
        </w:rPr>
        <w:t>　制造厂应在技术文件中提供车用柴油机的主要规格和如下参数：</w:t>
      </w:r>
    </w:p>
    <w:p w14:paraId="63FC1C3D">
      <w:pPr>
        <w:pStyle w:val="2"/>
        <w:numPr>
          <w:ilvl w:val="0"/>
          <w:numId w:val="1"/>
        </w:numPr>
        <w:ind w:left="420" w:firstLine="0"/>
        <w:rPr>
          <w:rFonts w:hint="eastAsia" w:cs="宋体"/>
          <w:szCs w:val="21"/>
        </w:rPr>
      </w:pPr>
      <w:r>
        <w:rPr>
          <w:rFonts w:hint="eastAsia" w:cs="宋体"/>
          <w:szCs w:val="21"/>
        </w:rPr>
        <w:t>冲程数；</w:t>
      </w:r>
    </w:p>
    <w:p w14:paraId="59D43370">
      <w:pPr>
        <w:numPr>
          <w:ilvl w:val="0"/>
          <w:numId w:val="1"/>
        </w:numPr>
        <w:ind w:left="420" w:firstLine="0"/>
        <w:rPr>
          <w:rFonts w:hint="eastAsia" w:cs="宋体"/>
          <w:szCs w:val="21"/>
        </w:rPr>
      </w:pPr>
      <w:r>
        <w:rPr>
          <w:rFonts w:hint="eastAsia" w:cs="宋体"/>
          <w:szCs w:val="21"/>
        </w:rPr>
        <w:t>缸径/行程；</w:t>
      </w:r>
    </w:p>
    <w:p w14:paraId="3CC64361">
      <w:pPr>
        <w:pStyle w:val="2"/>
        <w:numPr>
          <w:ilvl w:val="0"/>
          <w:numId w:val="1"/>
        </w:numPr>
        <w:ind w:left="420" w:firstLine="0"/>
        <w:rPr>
          <w:rFonts w:hint="eastAsia" w:cs="宋体"/>
          <w:szCs w:val="21"/>
        </w:rPr>
      </w:pPr>
      <w:r>
        <w:rPr>
          <w:rFonts w:hint="eastAsia" w:cs="宋体"/>
          <w:szCs w:val="21"/>
        </w:rPr>
        <w:t>气缸排列形式及缸数；</w:t>
      </w:r>
    </w:p>
    <w:p w14:paraId="1D13A51A">
      <w:pPr>
        <w:numPr>
          <w:ilvl w:val="0"/>
          <w:numId w:val="1"/>
        </w:numPr>
        <w:ind w:left="420" w:firstLine="0"/>
        <w:rPr>
          <w:rFonts w:hint="eastAsia" w:cs="宋体"/>
          <w:szCs w:val="21"/>
        </w:rPr>
      </w:pPr>
      <w:r>
        <w:rPr>
          <w:rFonts w:hint="eastAsia" w:cs="宋体"/>
          <w:szCs w:val="21"/>
        </w:rPr>
        <w:t>排量；</w:t>
      </w:r>
    </w:p>
    <w:p w14:paraId="15B18727">
      <w:pPr>
        <w:pStyle w:val="2"/>
        <w:numPr>
          <w:ilvl w:val="0"/>
          <w:numId w:val="1"/>
        </w:numPr>
        <w:ind w:left="420" w:firstLine="0"/>
        <w:rPr>
          <w:rFonts w:hint="eastAsia" w:cs="宋体"/>
          <w:szCs w:val="21"/>
        </w:rPr>
      </w:pPr>
      <w:r>
        <w:rPr>
          <w:rFonts w:hint="eastAsia" w:cs="宋体"/>
          <w:szCs w:val="21"/>
        </w:rPr>
        <w:t>最大净功率/转速及不衰减的最高海拔；</w:t>
      </w:r>
    </w:p>
    <w:p w14:paraId="569A9931">
      <w:pPr>
        <w:numPr>
          <w:ilvl w:val="0"/>
          <w:numId w:val="1"/>
        </w:numPr>
        <w:ind w:left="420" w:firstLine="0"/>
        <w:rPr>
          <w:rFonts w:hint="eastAsia" w:cs="宋体"/>
          <w:szCs w:val="21"/>
        </w:rPr>
      </w:pPr>
      <w:r>
        <w:rPr>
          <w:rFonts w:hint="eastAsia" w:cs="宋体"/>
          <w:szCs w:val="21"/>
        </w:rPr>
        <w:t>最大净扭矩/转速及不衰减的最高海拔；</w:t>
      </w:r>
    </w:p>
    <w:p w14:paraId="03F3C538">
      <w:pPr>
        <w:pStyle w:val="2"/>
        <w:numPr>
          <w:ilvl w:val="0"/>
          <w:numId w:val="1"/>
        </w:numPr>
        <w:ind w:left="420" w:firstLine="0"/>
        <w:rPr>
          <w:rFonts w:hint="eastAsia" w:cs="宋体"/>
          <w:szCs w:val="21"/>
        </w:rPr>
      </w:pPr>
      <w:r>
        <w:rPr>
          <w:rFonts w:hint="eastAsia" w:cs="宋体"/>
          <w:szCs w:val="21"/>
        </w:rPr>
        <w:t>压缩比；</w:t>
      </w:r>
    </w:p>
    <w:p w14:paraId="39E1B5B5">
      <w:pPr>
        <w:numPr>
          <w:ilvl w:val="0"/>
          <w:numId w:val="1"/>
        </w:numPr>
        <w:ind w:left="420" w:firstLine="0"/>
        <w:rPr>
          <w:rFonts w:hint="eastAsia" w:cs="宋体"/>
          <w:szCs w:val="21"/>
        </w:rPr>
      </w:pPr>
      <w:r>
        <w:rPr>
          <w:rFonts w:hint="eastAsia" w:cs="宋体"/>
          <w:szCs w:val="21"/>
        </w:rPr>
        <w:t>燃烧室型式；</w:t>
      </w:r>
    </w:p>
    <w:p w14:paraId="2304BBB8">
      <w:pPr>
        <w:pStyle w:val="2"/>
        <w:numPr>
          <w:ilvl w:val="0"/>
          <w:numId w:val="1"/>
        </w:numPr>
        <w:ind w:left="420" w:firstLine="0"/>
        <w:rPr>
          <w:rFonts w:hint="eastAsia" w:cs="宋体"/>
          <w:szCs w:val="21"/>
        </w:rPr>
      </w:pPr>
      <w:r>
        <w:rPr>
          <w:rFonts w:hint="eastAsia" w:cs="宋体"/>
          <w:szCs w:val="21"/>
        </w:rPr>
        <w:t>着火方式及顺序；</w:t>
      </w:r>
    </w:p>
    <w:p w14:paraId="07A248F4">
      <w:pPr>
        <w:pStyle w:val="2"/>
        <w:numPr>
          <w:ilvl w:val="0"/>
          <w:numId w:val="1"/>
        </w:numPr>
        <w:ind w:left="420" w:firstLine="0"/>
        <w:rPr>
          <w:rFonts w:hint="eastAsia" w:cs="宋体"/>
          <w:szCs w:val="21"/>
        </w:rPr>
      </w:pPr>
      <w:r>
        <w:rPr>
          <w:rFonts w:hint="eastAsia" w:cs="宋体"/>
          <w:szCs w:val="21"/>
        </w:rPr>
        <w:t>进气方式（自然吸气、机械增压、废气涡轮增压、废气涡轮增压并中冷）；</w:t>
      </w:r>
    </w:p>
    <w:p w14:paraId="77D57A93">
      <w:pPr>
        <w:numPr>
          <w:ilvl w:val="0"/>
          <w:numId w:val="1"/>
        </w:numPr>
        <w:ind w:left="420" w:firstLine="0"/>
        <w:rPr>
          <w:rFonts w:hint="eastAsia" w:cs="宋体"/>
          <w:szCs w:val="21"/>
        </w:rPr>
      </w:pPr>
      <w:r>
        <w:rPr>
          <w:rFonts w:hint="eastAsia" w:cs="宋体"/>
          <w:szCs w:val="21"/>
        </w:rPr>
        <w:t>配气机构（进/排气门数、气门间隙、凸轮轴位置）；</w:t>
      </w:r>
    </w:p>
    <w:p w14:paraId="53CC539C">
      <w:pPr>
        <w:pStyle w:val="2"/>
        <w:numPr>
          <w:ilvl w:val="0"/>
          <w:numId w:val="1"/>
        </w:numPr>
        <w:ind w:left="420" w:firstLine="0"/>
        <w:rPr>
          <w:rFonts w:hint="eastAsia" w:cs="宋体"/>
          <w:szCs w:val="21"/>
        </w:rPr>
      </w:pPr>
      <w:r>
        <w:rPr>
          <w:rFonts w:hint="eastAsia" w:cs="宋体"/>
          <w:szCs w:val="21"/>
        </w:rPr>
        <w:t>燃料供给系统型式；</w:t>
      </w:r>
    </w:p>
    <w:p w14:paraId="60B06B66">
      <w:pPr>
        <w:numPr>
          <w:ilvl w:val="0"/>
          <w:numId w:val="1"/>
        </w:numPr>
        <w:ind w:left="420" w:firstLine="0"/>
        <w:rPr>
          <w:rFonts w:hint="eastAsia" w:cs="宋体"/>
          <w:szCs w:val="21"/>
        </w:rPr>
      </w:pPr>
      <w:r>
        <w:rPr>
          <w:rFonts w:hint="eastAsia" w:cs="宋体"/>
          <w:szCs w:val="21"/>
        </w:rPr>
        <w:t>外形尺寸；</w:t>
      </w:r>
    </w:p>
    <w:p w14:paraId="6B151F30">
      <w:pPr>
        <w:pStyle w:val="2"/>
        <w:numPr>
          <w:ilvl w:val="0"/>
          <w:numId w:val="1"/>
        </w:numPr>
        <w:ind w:left="420" w:firstLine="0"/>
        <w:rPr>
          <w:rFonts w:hint="eastAsia" w:cs="宋体"/>
          <w:szCs w:val="21"/>
        </w:rPr>
      </w:pPr>
      <w:r>
        <w:rPr>
          <w:rFonts w:hint="eastAsia" w:cs="宋体"/>
          <w:szCs w:val="21"/>
        </w:rPr>
        <w:t>冷却型式；</w:t>
      </w:r>
    </w:p>
    <w:p w14:paraId="245A6D4D">
      <w:pPr>
        <w:numPr>
          <w:ilvl w:val="0"/>
          <w:numId w:val="1"/>
        </w:numPr>
        <w:ind w:left="420" w:firstLine="0"/>
        <w:rPr>
          <w:rFonts w:hint="eastAsia" w:cs="宋体"/>
          <w:szCs w:val="21"/>
        </w:rPr>
      </w:pPr>
      <w:r>
        <w:rPr>
          <w:rFonts w:hint="eastAsia" w:cs="宋体"/>
          <w:szCs w:val="21"/>
        </w:rPr>
        <w:t>排放控制装置及排放水平；</w:t>
      </w:r>
    </w:p>
    <w:p w14:paraId="3C1FD600">
      <w:pPr>
        <w:pStyle w:val="2"/>
        <w:numPr>
          <w:ilvl w:val="0"/>
          <w:numId w:val="1"/>
        </w:numPr>
        <w:ind w:left="420" w:firstLine="0"/>
        <w:rPr>
          <w:rFonts w:hint="eastAsia" w:cs="宋体"/>
          <w:szCs w:val="21"/>
        </w:rPr>
      </w:pPr>
      <w:r>
        <w:rPr>
          <w:rFonts w:hint="eastAsia" w:cs="宋体"/>
          <w:szCs w:val="21"/>
        </w:rPr>
        <w:t>额定点机油燃油消耗比；</w:t>
      </w:r>
    </w:p>
    <w:p w14:paraId="2C618C3A">
      <w:pPr>
        <w:numPr>
          <w:ilvl w:val="0"/>
          <w:numId w:val="1"/>
        </w:numPr>
        <w:ind w:left="420" w:firstLine="0"/>
        <w:rPr>
          <w:rFonts w:hint="eastAsia" w:cs="宋体"/>
          <w:szCs w:val="21"/>
        </w:rPr>
      </w:pPr>
      <w:r>
        <w:rPr>
          <w:rFonts w:hint="eastAsia" w:cs="宋体"/>
          <w:szCs w:val="21"/>
        </w:rPr>
        <w:t>活塞最大漏气量；</w:t>
      </w:r>
    </w:p>
    <w:p w14:paraId="354D58D3">
      <w:pPr>
        <w:pStyle w:val="2"/>
        <w:numPr>
          <w:ilvl w:val="0"/>
          <w:numId w:val="1"/>
        </w:numPr>
        <w:ind w:left="420" w:firstLine="0"/>
        <w:rPr>
          <w:rFonts w:hint="eastAsia" w:cs="宋体"/>
          <w:szCs w:val="21"/>
        </w:rPr>
      </w:pPr>
      <w:r>
        <w:rPr>
          <w:rFonts w:hint="eastAsia" w:cs="宋体"/>
          <w:szCs w:val="21"/>
        </w:rPr>
        <w:t>纵向/横向允许倾斜角度。</w:t>
      </w:r>
    </w:p>
    <w:p w14:paraId="735562A0">
      <w:pPr>
        <w:pStyle w:val="25"/>
        <w:ind w:firstLine="0" w:firstLineChars="0"/>
        <w:rPr>
          <w:rFonts w:hint="eastAsia"/>
        </w:rPr>
      </w:pPr>
      <w:r>
        <w:rPr>
          <w:rFonts w:hint="eastAsia" w:ascii="黑体" w:hAnsi="黑体" w:eastAsia="黑体"/>
        </w:rPr>
        <w:t>4.1.3</w:t>
      </w:r>
      <w:r>
        <w:rPr>
          <w:rFonts w:hint="eastAsia"/>
        </w:rPr>
        <w:t>　装车应用要求应符合QC/T 471的有关规定。</w:t>
      </w:r>
    </w:p>
    <w:p w14:paraId="2DB59B5F">
      <w:pPr>
        <w:pStyle w:val="25"/>
        <w:ind w:firstLine="0" w:firstLineChars="0"/>
        <w:rPr>
          <w:rFonts w:hint="eastAsia"/>
        </w:rPr>
      </w:pPr>
      <w:r>
        <w:rPr>
          <w:rFonts w:hint="eastAsia" w:ascii="黑体" w:hAnsi="黑体" w:eastAsia="黑体"/>
        </w:rPr>
        <w:t>4.1.4</w:t>
      </w:r>
      <w:r>
        <w:rPr>
          <w:rFonts w:hint="eastAsia"/>
        </w:rPr>
        <w:t>　所用燃料应符合制造厂的要求。</w:t>
      </w:r>
    </w:p>
    <w:p w14:paraId="2B16601B">
      <w:pPr>
        <w:pStyle w:val="38"/>
        <w:rPr>
          <w:rFonts w:hint="eastAsia"/>
        </w:rPr>
      </w:pPr>
      <w:bookmarkStart w:id="22" w:name="_Toc9529"/>
      <w:bookmarkStart w:id="23" w:name="_Toc16651"/>
      <w:r>
        <w:t>4.</w:t>
      </w:r>
      <w:r>
        <w:rPr>
          <w:rFonts w:hint="eastAsia"/>
        </w:rPr>
        <w:t>2　高原性能要求</w:t>
      </w:r>
      <w:bookmarkEnd w:id="22"/>
      <w:bookmarkEnd w:id="23"/>
    </w:p>
    <w:p w14:paraId="1471C86C">
      <w:pPr>
        <w:pStyle w:val="25"/>
        <w:ind w:firstLine="0" w:firstLineChars="0"/>
        <w:rPr>
          <w:rFonts w:hint="eastAsia"/>
        </w:rPr>
      </w:pPr>
      <w:r>
        <w:rPr>
          <w:rFonts w:hint="eastAsia" w:ascii="黑体" w:hAnsi="黑体" w:eastAsia="黑体"/>
        </w:rPr>
        <w:t>4.2.1</w:t>
      </w:r>
      <w:r>
        <w:rPr>
          <w:rFonts w:hint="eastAsia"/>
        </w:rPr>
        <w:t>　在高海拔环境下，重型车用柴油机最大净功率衰减率应小于表1的要求；最大净扭矩和最大净功率的允差应满足GB/T 17692-2024要求。</w:t>
      </w:r>
    </w:p>
    <w:p w14:paraId="6C229E30">
      <w:pPr>
        <w:pStyle w:val="45"/>
        <w:rPr>
          <w:rFonts w:hint="eastAsia"/>
        </w:rPr>
      </w:pPr>
      <w:r>
        <w:rPr>
          <w:rFonts w:hint="eastAsia"/>
        </w:rPr>
        <w:t>表1 高原最大净功率衰减要求</w:t>
      </w:r>
    </w:p>
    <w:tbl>
      <w:tblPr>
        <w:tblStyle w:val="19"/>
        <w:tblW w:w="64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7"/>
        <w:gridCol w:w="1554"/>
        <w:gridCol w:w="1554"/>
        <w:gridCol w:w="1554"/>
      </w:tblGrid>
      <w:tr w14:paraId="635C9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071B982B">
            <w:pPr>
              <w:pStyle w:val="25"/>
              <w:widowControl w:val="0"/>
              <w:ind w:firstLine="0" w:firstLineChars="0"/>
              <w:jc w:val="center"/>
              <w:rPr>
                <w:rFonts w:hint="eastAsia"/>
                <w:sz w:val="18"/>
                <w:szCs w:val="18"/>
              </w:rPr>
            </w:pPr>
            <w:r>
              <w:rPr>
                <w:rFonts w:hint="eastAsia"/>
                <w:sz w:val="18"/>
                <w:szCs w:val="18"/>
              </w:rPr>
              <w:t>海拔/m</w:t>
            </w:r>
          </w:p>
        </w:tc>
        <w:tc>
          <w:tcPr>
            <w:tcW w:w="1554" w:type="dxa"/>
          </w:tcPr>
          <w:p w14:paraId="48A95F7F">
            <w:pPr>
              <w:pStyle w:val="25"/>
              <w:widowControl w:val="0"/>
              <w:ind w:firstLine="0" w:firstLineChars="0"/>
              <w:jc w:val="center"/>
              <w:rPr>
                <w:rFonts w:hint="eastAsia"/>
                <w:sz w:val="18"/>
                <w:szCs w:val="18"/>
              </w:rPr>
            </w:pPr>
            <w:r>
              <w:rPr>
                <w:rFonts w:hint="eastAsia"/>
                <w:sz w:val="18"/>
                <w:szCs w:val="18"/>
              </w:rPr>
              <w:t>环境温度/℃</w:t>
            </w:r>
          </w:p>
        </w:tc>
        <w:tc>
          <w:tcPr>
            <w:tcW w:w="1554" w:type="dxa"/>
          </w:tcPr>
          <w:p w14:paraId="24C1559E">
            <w:pPr>
              <w:pStyle w:val="25"/>
              <w:widowControl w:val="0"/>
              <w:ind w:firstLine="0" w:firstLineChars="0"/>
              <w:jc w:val="center"/>
              <w:rPr>
                <w:rFonts w:hint="eastAsia"/>
                <w:sz w:val="18"/>
                <w:szCs w:val="18"/>
              </w:rPr>
            </w:pPr>
            <w:r>
              <w:rPr>
                <w:rFonts w:hint="eastAsia"/>
                <w:sz w:val="18"/>
                <w:szCs w:val="18"/>
              </w:rPr>
              <w:t>环境湿度/%</w:t>
            </w:r>
          </w:p>
        </w:tc>
        <w:tc>
          <w:tcPr>
            <w:tcW w:w="1554" w:type="dxa"/>
          </w:tcPr>
          <w:p w14:paraId="27FE5701">
            <w:pPr>
              <w:pStyle w:val="25"/>
              <w:widowControl w:val="0"/>
              <w:ind w:firstLine="0" w:firstLineChars="0"/>
              <w:jc w:val="center"/>
              <w:rPr>
                <w:rFonts w:hint="eastAsia"/>
                <w:sz w:val="18"/>
                <w:szCs w:val="18"/>
              </w:rPr>
            </w:pPr>
            <w:r>
              <w:rPr>
                <w:rFonts w:hint="eastAsia"/>
                <w:sz w:val="18"/>
                <w:szCs w:val="18"/>
              </w:rPr>
              <w:t>衰减率/%</w:t>
            </w:r>
          </w:p>
        </w:tc>
      </w:tr>
      <w:tr w14:paraId="53F5F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72C94AEA">
            <w:pPr>
              <w:pStyle w:val="25"/>
              <w:widowControl w:val="0"/>
              <w:ind w:firstLine="0" w:firstLineChars="0"/>
              <w:jc w:val="center"/>
              <w:rPr>
                <w:rFonts w:hint="eastAsia"/>
                <w:sz w:val="18"/>
                <w:szCs w:val="18"/>
              </w:rPr>
            </w:pPr>
            <w:r>
              <w:rPr>
                <w:rFonts w:hint="eastAsia"/>
                <w:sz w:val="18"/>
                <w:szCs w:val="18"/>
              </w:rPr>
              <w:t>1900±200</w:t>
            </w:r>
          </w:p>
        </w:tc>
        <w:tc>
          <w:tcPr>
            <w:tcW w:w="1554" w:type="dxa"/>
          </w:tcPr>
          <w:p w14:paraId="2F4BDE28">
            <w:pPr>
              <w:pStyle w:val="25"/>
              <w:widowControl w:val="0"/>
              <w:ind w:firstLine="0" w:firstLineChars="0"/>
              <w:jc w:val="center"/>
              <w:rPr>
                <w:rFonts w:hint="eastAsia"/>
                <w:sz w:val="18"/>
                <w:szCs w:val="18"/>
              </w:rPr>
            </w:pPr>
            <w:r>
              <w:rPr>
                <w:rFonts w:hint="eastAsia"/>
                <w:sz w:val="18"/>
                <w:szCs w:val="18"/>
              </w:rPr>
              <w:t>21±2</w:t>
            </w:r>
          </w:p>
        </w:tc>
        <w:tc>
          <w:tcPr>
            <w:tcW w:w="1554" w:type="dxa"/>
            <w:vMerge w:val="restart"/>
            <w:vAlign w:val="center"/>
          </w:tcPr>
          <w:p w14:paraId="0C9674C8">
            <w:pPr>
              <w:pStyle w:val="25"/>
              <w:widowControl w:val="0"/>
              <w:ind w:firstLine="0" w:firstLineChars="0"/>
              <w:jc w:val="center"/>
              <w:rPr>
                <w:rFonts w:hint="eastAsia"/>
                <w:sz w:val="18"/>
                <w:szCs w:val="18"/>
              </w:rPr>
            </w:pPr>
            <w:r>
              <w:rPr>
                <w:rFonts w:hint="eastAsia"/>
                <w:sz w:val="18"/>
                <w:szCs w:val="18"/>
              </w:rPr>
              <w:t>45±5</w:t>
            </w:r>
          </w:p>
        </w:tc>
        <w:tc>
          <w:tcPr>
            <w:tcW w:w="1554" w:type="dxa"/>
          </w:tcPr>
          <w:p w14:paraId="030AE4BE">
            <w:pPr>
              <w:pStyle w:val="25"/>
              <w:widowControl w:val="0"/>
              <w:ind w:firstLine="0" w:firstLineChars="0"/>
              <w:jc w:val="center"/>
              <w:rPr>
                <w:rFonts w:hint="eastAsia"/>
                <w:sz w:val="18"/>
                <w:szCs w:val="18"/>
              </w:rPr>
            </w:pPr>
            <w:r>
              <w:rPr>
                <w:rFonts w:hint="eastAsia"/>
                <w:sz w:val="18"/>
                <w:szCs w:val="18"/>
              </w:rPr>
              <w:t>10</w:t>
            </w:r>
          </w:p>
        </w:tc>
      </w:tr>
      <w:tr w14:paraId="26759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1DFCD182">
            <w:pPr>
              <w:pStyle w:val="25"/>
              <w:widowControl w:val="0"/>
              <w:ind w:firstLine="0" w:firstLineChars="0"/>
              <w:jc w:val="center"/>
              <w:rPr>
                <w:rFonts w:hint="eastAsia"/>
                <w:sz w:val="18"/>
                <w:szCs w:val="18"/>
              </w:rPr>
            </w:pPr>
            <w:r>
              <w:rPr>
                <w:rFonts w:hint="eastAsia"/>
                <w:sz w:val="18"/>
                <w:szCs w:val="18"/>
              </w:rPr>
              <w:t>2700±200</w:t>
            </w:r>
          </w:p>
        </w:tc>
        <w:tc>
          <w:tcPr>
            <w:tcW w:w="1554" w:type="dxa"/>
          </w:tcPr>
          <w:p w14:paraId="06FE1B08">
            <w:pPr>
              <w:pStyle w:val="25"/>
              <w:widowControl w:val="0"/>
              <w:ind w:firstLine="0" w:firstLineChars="0"/>
              <w:jc w:val="center"/>
              <w:rPr>
                <w:rFonts w:hint="eastAsia"/>
                <w:sz w:val="18"/>
                <w:szCs w:val="18"/>
              </w:rPr>
            </w:pPr>
            <w:r>
              <w:rPr>
                <w:rFonts w:hint="eastAsia"/>
                <w:sz w:val="18"/>
                <w:szCs w:val="18"/>
              </w:rPr>
              <w:t>19±2</w:t>
            </w:r>
          </w:p>
        </w:tc>
        <w:tc>
          <w:tcPr>
            <w:tcW w:w="1554" w:type="dxa"/>
            <w:vMerge w:val="continue"/>
          </w:tcPr>
          <w:p w14:paraId="5D5FBB3A">
            <w:pPr>
              <w:pStyle w:val="25"/>
              <w:widowControl w:val="0"/>
              <w:ind w:firstLine="0" w:firstLineChars="0"/>
              <w:jc w:val="center"/>
              <w:rPr>
                <w:rFonts w:hint="eastAsia"/>
                <w:sz w:val="18"/>
                <w:szCs w:val="18"/>
              </w:rPr>
            </w:pPr>
          </w:p>
        </w:tc>
        <w:tc>
          <w:tcPr>
            <w:tcW w:w="1554" w:type="dxa"/>
          </w:tcPr>
          <w:p w14:paraId="3C9E7830">
            <w:pPr>
              <w:pStyle w:val="25"/>
              <w:widowControl w:val="0"/>
              <w:ind w:firstLine="0" w:firstLineChars="0"/>
              <w:jc w:val="center"/>
              <w:rPr>
                <w:rFonts w:hint="eastAsia"/>
                <w:sz w:val="18"/>
                <w:szCs w:val="18"/>
              </w:rPr>
            </w:pPr>
            <w:r>
              <w:rPr>
                <w:rFonts w:hint="eastAsia"/>
                <w:sz w:val="18"/>
                <w:szCs w:val="18"/>
              </w:rPr>
              <w:t>23</w:t>
            </w:r>
          </w:p>
        </w:tc>
      </w:tr>
      <w:tr w14:paraId="4D89F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07C6C655">
            <w:pPr>
              <w:pStyle w:val="25"/>
              <w:widowControl w:val="0"/>
              <w:ind w:firstLine="0" w:firstLineChars="0"/>
              <w:jc w:val="center"/>
              <w:rPr>
                <w:rFonts w:hint="eastAsia"/>
                <w:sz w:val="18"/>
                <w:szCs w:val="18"/>
              </w:rPr>
            </w:pPr>
            <w:r>
              <w:rPr>
                <w:rFonts w:hint="eastAsia"/>
                <w:sz w:val="18"/>
                <w:szCs w:val="18"/>
              </w:rPr>
              <w:t>3500±200</w:t>
            </w:r>
          </w:p>
        </w:tc>
        <w:tc>
          <w:tcPr>
            <w:tcW w:w="1554" w:type="dxa"/>
          </w:tcPr>
          <w:p w14:paraId="6FB3707C">
            <w:pPr>
              <w:pStyle w:val="25"/>
              <w:widowControl w:val="0"/>
              <w:ind w:firstLine="0" w:firstLineChars="0"/>
              <w:jc w:val="center"/>
              <w:rPr>
                <w:rFonts w:hint="eastAsia"/>
                <w:sz w:val="18"/>
                <w:szCs w:val="18"/>
              </w:rPr>
            </w:pPr>
            <w:r>
              <w:rPr>
                <w:rFonts w:hint="eastAsia"/>
                <w:sz w:val="18"/>
                <w:szCs w:val="18"/>
              </w:rPr>
              <w:t>18±2</w:t>
            </w:r>
          </w:p>
        </w:tc>
        <w:tc>
          <w:tcPr>
            <w:tcW w:w="1554" w:type="dxa"/>
            <w:vMerge w:val="continue"/>
          </w:tcPr>
          <w:p w14:paraId="51EF3B6F">
            <w:pPr>
              <w:pStyle w:val="25"/>
              <w:widowControl w:val="0"/>
              <w:ind w:firstLine="0" w:firstLineChars="0"/>
              <w:jc w:val="center"/>
              <w:rPr>
                <w:rFonts w:hint="eastAsia"/>
                <w:sz w:val="18"/>
                <w:szCs w:val="18"/>
              </w:rPr>
            </w:pPr>
          </w:p>
        </w:tc>
        <w:tc>
          <w:tcPr>
            <w:tcW w:w="1554" w:type="dxa"/>
          </w:tcPr>
          <w:p w14:paraId="61C7EADD">
            <w:pPr>
              <w:pStyle w:val="25"/>
              <w:widowControl w:val="0"/>
              <w:ind w:firstLine="0" w:firstLineChars="0"/>
              <w:jc w:val="center"/>
              <w:rPr>
                <w:rFonts w:hint="eastAsia"/>
                <w:sz w:val="18"/>
                <w:szCs w:val="18"/>
              </w:rPr>
            </w:pPr>
            <w:r>
              <w:rPr>
                <w:rFonts w:hint="eastAsia"/>
                <w:sz w:val="18"/>
                <w:szCs w:val="18"/>
              </w:rPr>
              <w:t>30</w:t>
            </w:r>
          </w:p>
        </w:tc>
      </w:tr>
      <w:tr w14:paraId="5FEA1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41A68B4A">
            <w:pPr>
              <w:pStyle w:val="25"/>
              <w:widowControl w:val="0"/>
              <w:ind w:firstLine="0" w:firstLineChars="0"/>
              <w:jc w:val="center"/>
              <w:rPr>
                <w:rFonts w:hint="eastAsia"/>
                <w:sz w:val="18"/>
                <w:szCs w:val="18"/>
              </w:rPr>
            </w:pPr>
            <w:r>
              <w:rPr>
                <w:rFonts w:hint="eastAsia"/>
                <w:sz w:val="18"/>
                <w:szCs w:val="18"/>
              </w:rPr>
              <w:t>4500±200</w:t>
            </w:r>
          </w:p>
        </w:tc>
        <w:tc>
          <w:tcPr>
            <w:tcW w:w="1554" w:type="dxa"/>
          </w:tcPr>
          <w:p w14:paraId="2D3A629C">
            <w:pPr>
              <w:pStyle w:val="25"/>
              <w:widowControl w:val="0"/>
              <w:ind w:firstLine="0" w:firstLineChars="0"/>
              <w:jc w:val="center"/>
              <w:rPr>
                <w:rFonts w:hint="eastAsia"/>
                <w:sz w:val="18"/>
                <w:szCs w:val="18"/>
              </w:rPr>
            </w:pPr>
            <w:r>
              <w:rPr>
                <w:rFonts w:hint="eastAsia"/>
                <w:sz w:val="18"/>
                <w:szCs w:val="18"/>
              </w:rPr>
              <w:t>16±2</w:t>
            </w:r>
          </w:p>
        </w:tc>
        <w:tc>
          <w:tcPr>
            <w:tcW w:w="1554" w:type="dxa"/>
            <w:vMerge w:val="continue"/>
          </w:tcPr>
          <w:p w14:paraId="33E5D483">
            <w:pPr>
              <w:pStyle w:val="25"/>
              <w:widowControl w:val="0"/>
              <w:ind w:firstLine="0" w:firstLineChars="0"/>
              <w:jc w:val="center"/>
              <w:rPr>
                <w:rFonts w:hint="eastAsia"/>
                <w:sz w:val="18"/>
                <w:szCs w:val="18"/>
              </w:rPr>
            </w:pPr>
          </w:p>
        </w:tc>
        <w:tc>
          <w:tcPr>
            <w:tcW w:w="1554" w:type="dxa"/>
          </w:tcPr>
          <w:p w14:paraId="13167744">
            <w:pPr>
              <w:pStyle w:val="25"/>
              <w:widowControl w:val="0"/>
              <w:ind w:firstLine="0" w:firstLineChars="0"/>
              <w:jc w:val="center"/>
              <w:rPr>
                <w:rFonts w:hint="eastAsia"/>
                <w:sz w:val="18"/>
                <w:szCs w:val="18"/>
              </w:rPr>
            </w:pPr>
            <w:r>
              <w:rPr>
                <w:rFonts w:hint="eastAsia"/>
                <w:sz w:val="18"/>
                <w:szCs w:val="18"/>
              </w:rPr>
              <w:t>40</w:t>
            </w:r>
          </w:p>
        </w:tc>
      </w:tr>
      <w:tr w14:paraId="44DF0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97" w:type="dxa"/>
          </w:tcPr>
          <w:p w14:paraId="33A9BA29">
            <w:pPr>
              <w:pStyle w:val="25"/>
              <w:widowControl w:val="0"/>
              <w:ind w:firstLine="0" w:firstLineChars="0"/>
              <w:jc w:val="center"/>
              <w:rPr>
                <w:rFonts w:hint="eastAsia"/>
                <w:sz w:val="18"/>
                <w:szCs w:val="18"/>
              </w:rPr>
            </w:pPr>
            <w:r>
              <w:rPr>
                <w:rFonts w:hint="eastAsia"/>
                <w:sz w:val="18"/>
                <w:szCs w:val="18"/>
              </w:rPr>
              <w:t>5000±200</w:t>
            </w:r>
          </w:p>
        </w:tc>
        <w:tc>
          <w:tcPr>
            <w:tcW w:w="1554" w:type="dxa"/>
          </w:tcPr>
          <w:p w14:paraId="115782A6">
            <w:pPr>
              <w:pStyle w:val="25"/>
              <w:widowControl w:val="0"/>
              <w:ind w:firstLine="0" w:firstLineChars="0"/>
              <w:jc w:val="center"/>
              <w:rPr>
                <w:rFonts w:hint="eastAsia"/>
                <w:sz w:val="18"/>
                <w:szCs w:val="18"/>
              </w:rPr>
            </w:pPr>
            <w:r>
              <w:rPr>
                <w:rFonts w:hint="eastAsia"/>
                <w:sz w:val="18"/>
                <w:szCs w:val="18"/>
              </w:rPr>
              <w:t>15±2</w:t>
            </w:r>
          </w:p>
        </w:tc>
        <w:tc>
          <w:tcPr>
            <w:tcW w:w="1554" w:type="dxa"/>
            <w:vMerge w:val="continue"/>
          </w:tcPr>
          <w:p w14:paraId="653BE648">
            <w:pPr>
              <w:pStyle w:val="25"/>
              <w:widowControl w:val="0"/>
              <w:ind w:firstLine="0" w:firstLineChars="0"/>
              <w:jc w:val="center"/>
              <w:rPr>
                <w:rFonts w:hint="eastAsia"/>
                <w:sz w:val="18"/>
                <w:szCs w:val="18"/>
              </w:rPr>
            </w:pPr>
          </w:p>
        </w:tc>
        <w:tc>
          <w:tcPr>
            <w:tcW w:w="1554" w:type="dxa"/>
          </w:tcPr>
          <w:p w14:paraId="45FE390A">
            <w:pPr>
              <w:pStyle w:val="25"/>
              <w:widowControl w:val="0"/>
              <w:ind w:firstLine="0" w:firstLineChars="0"/>
              <w:jc w:val="center"/>
              <w:rPr>
                <w:rFonts w:hint="eastAsia"/>
                <w:sz w:val="18"/>
                <w:szCs w:val="18"/>
              </w:rPr>
            </w:pPr>
            <w:r>
              <w:rPr>
                <w:rFonts w:hint="eastAsia"/>
                <w:sz w:val="18"/>
                <w:szCs w:val="18"/>
              </w:rPr>
              <w:t>52</w:t>
            </w:r>
          </w:p>
        </w:tc>
      </w:tr>
    </w:tbl>
    <w:p w14:paraId="3B6EF2D0">
      <w:pPr>
        <w:pStyle w:val="25"/>
        <w:ind w:firstLine="0" w:firstLineChars="0"/>
        <w:rPr>
          <w:rFonts w:hint="eastAsia"/>
        </w:rPr>
      </w:pPr>
      <w:r>
        <w:rPr>
          <w:rFonts w:hint="eastAsia" w:ascii="黑体" w:hAnsi="黑体" w:eastAsia="黑体"/>
        </w:rPr>
        <w:t>4.2.2</w:t>
      </w:r>
      <w:r>
        <w:rPr>
          <w:rFonts w:hint="eastAsia"/>
        </w:rPr>
        <w:t>　在高海拔环境下的最低燃油消耗率劣化率应小于表2的要求。</w:t>
      </w:r>
    </w:p>
    <w:p w14:paraId="2A65E0A4">
      <w:pPr>
        <w:pStyle w:val="45"/>
        <w:rPr>
          <w:rFonts w:hint="eastAsia"/>
        </w:rPr>
      </w:pPr>
      <w:r>
        <w:rPr>
          <w:rFonts w:hint="eastAsia"/>
        </w:rPr>
        <w:t>表2 高原最低燃油消耗率劣化要求</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20"/>
        <w:gridCol w:w="4608"/>
      </w:tblGrid>
      <w:tr w14:paraId="695EA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0" w:type="dxa"/>
          </w:tcPr>
          <w:p w14:paraId="2167CD92">
            <w:pPr>
              <w:pStyle w:val="25"/>
              <w:ind w:firstLine="0" w:firstLineChars="0"/>
              <w:jc w:val="center"/>
              <w:rPr>
                <w:rFonts w:hint="eastAsia"/>
                <w:sz w:val="18"/>
                <w:szCs w:val="18"/>
              </w:rPr>
            </w:pPr>
            <w:r>
              <w:rPr>
                <w:rFonts w:hint="eastAsia"/>
                <w:sz w:val="18"/>
                <w:szCs w:val="18"/>
              </w:rPr>
              <w:t>海拔/m</w:t>
            </w:r>
          </w:p>
        </w:tc>
        <w:tc>
          <w:tcPr>
            <w:tcW w:w="4608" w:type="dxa"/>
          </w:tcPr>
          <w:p w14:paraId="26461349">
            <w:pPr>
              <w:pStyle w:val="25"/>
              <w:ind w:firstLine="0" w:firstLineChars="0"/>
              <w:jc w:val="center"/>
              <w:rPr>
                <w:rFonts w:hint="eastAsia"/>
                <w:sz w:val="18"/>
                <w:szCs w:val="18"/>
              </w:rPr>
            </w:pPr>
            <w:r>
              <w:rPr>
                <w:rFonts w:hint="eastAsia"/>
                <w:sz w:val="18"/>
                <w:szCs w:val="18"/>
              </w:rPr>
              <w:t>高原最低燃油消耗率劣化率/%</w:t>
            </w:r>
          </w:p>
        </w:tc>
      </w:tr>
      <w:tr w14:paraId="5FD63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0" w:type="dxa"/>
          </w:tcPr>
          <w:p w14:paraId="6F797718">
            <w:pPr>
              <w:pStyle w:val="25"/>
              <w:ind w:firstLine="0" w:firstLineChars="0"/>
              <w:jc w:val="center"/>
              <w:rPr>
                <w:rFonts w:hint="eastAsia"/>
                <w:sz w:val="18"/>
                <w:szCs w:val="18"/>
              </w:rPr>
            </w:pPr>
            <w:r>
              <w:rPr>
                <w:rFonts w:hint="eastAsia"/>
                <w:sz w:val="18"/>
                <w:szCs w:val="18"/>
              </w:rPr>
              <w:t>1900±200</w:t>
            </w:r>
          </w:p>
        </w:tc>
        <w:tc>
          <w:tcPr>
            <w:tcW w:w="4608" w:type="dxa"/>
          </w:tcPr>
          <w:p w14:paraId="21DABECB">
            <w:pPr>
              <w:pStyle w:val="25"/>
              <w:ind w:firstLine="0" w:firstLineChars="0"/>
              <w:jc w:val="center"/>
              <w:rPr>
                <w:rFonts w:hint="eastAsia"/>
                <w:sz w:val="18"/>
                <w:szCs w:val="18"/>
              </w:rPr>
            </w:pPr>
            <w:r>
              <w:rPr>
                <w:rFonts w:hint="eastAsia"/>
                <w:sz w:val="18"/>
                <w:szCs w:val="18"/>
              </w:rPr>
              <w:t>2.6</w:t>
            </w:r>
          </w:p>
        </w:tc>
      </w:tr>
      <w:tr w14:paraId="18DE5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0" w:type="dxa"/>
          </w:tcPr>
          <w:p w14:paraId="38A067E0">
            <w:pPr>
              <w:pStyle w:val="25"/>
              <w:tabs>
                <w:tab w:val="left" w:pos="1680"/>
              </w:tabs>
              <w:ind w:firstLine="0" w:firstLineChars="0"/>
              <w:jc w:val="center"/>
              <w:rPr>
                <w:rFonts w:hint="eastAsia"/>
                <w:sz w:val="18"/>
                <w:szCs w:val="18"/>
              </w:rPr>
            </w:pPr>
            <w:r>
              <w:rPr>
                <w:rFonts w:hint="eastAsia"/>
                <w:sz w:val="18"/>
                <w:szCs w:val="18"/>
              </w:rPr>
              <w:t>2700±200</w:t>
            </w:r>
          </w:p>
        </w:tc>
        <w:tc>
          <w:tcPr>
            <w:tcW w:w="4608" w:type="dxa"/>
          </w:tcPr>
          <w:p w14:paraId="7CBDCFEB">
            <w:pPr>
              <w:pStyle w:val="25"/>
              <w:ind w:firstLine="0" w:firstLineChars="0"/>
              <w:jc w:val="center"/>
              <w:rPr>
                <w:rFonts w:hint="eastAsia"/>
                <w:sz w:val="18"/>
                <w:szCs w:val="18"/>
              </w:rPr>
            </w:pPr>
            <w:r>
              <w:rPr>
                <w:rFonts w:hint="eastAsia"/>
                <w:sz w:val="18"/>
                <w:szCs w:val="18"/>
              </w:rPr>
              <w:t>4.0</w:t>
            </w:r>
          </w:p>
        </w:tc>
      </w:tr>
      <w:tr w14:paraId="12A67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0" w:type="dxa"/>
          </w:tcPr>
          <w:p w14:paraId="24F69A65">
            <w:pPr>
              <w:pStyle w:val="25"/>
              <w:ind w:firstLine="0" w:firstLineChars="0"/>
              <w:jc w:val="center"/>
              <w:rPr>
                <w:rFonts w:hint="eastAsia"/>
                <w:sz w:val="18"/>
                <w:szCs w:val="18"/>
              </w:rPr>
            </w:pPr>
            <w:r>
              <w:rPr>
                <w:rFonts w:hint="eastAsia"/>
                <w:sz w:val="18"/>
                <w:szCs w:val="18"/>
              </w:rPr>
              <w:t>3500±200</w:t>
            </w:r>
          </w:p>
        </w:tc>
        <w:tc>
          <w:tcPr>
            <w:tcW w:w="4608" w:type="dxa"/>
          </w:tcPr>
          <w:p w14:paraId="238DD163">
            <w:pPr>
              <w:pStyle w:val="25"/>
              <w:ind w:firstLine="0" w:firstLineChars="0"/>
              <w:jc w:val="center"/>
              <w:rPr>
                <w:rFonts w:hint="eastAsia"/>
                <w:sz w:val="18"/>
                <w:szCs w:val="18"/>
              </w:rPr>
            </w:pPr>
            <w:r>
              <w:rPr>
                <w:rFonts w:hint="eastAsia"/>
                <w:sz w:val="18"/>
                <w:szCs w:val="18"/>
              </w:rPr>
              <w:t>6.0</w:t>
            </w:r>
          </w:p>
        </w:tc>
      </w:tr>
      <w:tr w14:paraId="04C58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0" w:type="dxa"/>
          </w:tcPr>
          <w:p w14:paraId="17D85631">
            <w:pPr>
              <w:pStyle w:val="25"/>
              <w:ind w:firstLine="0" w:firstLineChars="0"/>
              <w:jc w:val="center"/>
              <w:rPr>
                <w:rFonts w:hint="eastAsia"/>
                <w:sz w:val="18"/>
                <w:szCs w:val="18"/>
              </w:rPr>
            </w:pPr>
            <w:r>
              <w:rPr>
                <w:rFonts w:hint="eastAsia"/>
                <w:sz w:val="18"/>
                <w:szCs w:val="18"/>
              </w:rPr>
              <w:t>4500±200</w:t>
            </w:r>
          </w:p>
        </w:tc>
        <w:tc>
          <w:tcPr>
            <w:tcW w:w="4608" w:type="dxa"/>
          </w:tcPr>
          <w:p w14:paraId="616F4561">
            <w:pPr>
              <w:pStyle w:val="25"/>
              <w:ind w:firstLine="0" w:firstLineChars="0"/>
              <w:jc w:val="center"/>
              <w:rPr>
                <w:rFonts w:hint="eastAsia"/>
                <w:sz w:val="18"/>
                <w:szCs w:val="18"/>
              </w:rPr>
            </w:pPr>
            <w:r>
              <w:rPr>
                <w:rFonts w:hint="eastAsia"/>
                <w:sz w:val="18"/>
                <w:szCs w:val="18"/>
              </w:rPr>
              <w:t>9.0</w:t>
            </w:r>
          </w:p>
        </w:tc>
      </w:tr>
      <w:tr w14:paraId="0E5EF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20" w:type="dxa"/>
          </w:tcPr>
          <w:p w14:paraId="27F9FE4F">
            <w:pPr>
              <w:pStyle w:val="25"/>
              <w:ind w:firstLine="0" w:firstLineChars="0"/>
              <w:jc w:val="center"/>
              <w:rPr>
                <w:rFonts w:hint="eastAsia"/>
                <w:sz w:val="18"/>
                <w:szCs w:val="18"/>
              </w:rPr>
            </w:pPr>
            <w:r>
              <w:rPr>
                <w:rFonts w:hint="eastAsia"/>
                <w:sz w:val="18"/>
                <w:szCs w:val="18"/>
              </w:rPr>
              <w:t>5000+200</w:t>
            </w:r>
          </w:p>
        </w:tc>
        <w:tc>
          <w:tcPr>
            <w:tcW w:w="4608" w:type="dxa"/>
          </w:tcPr>
          <w:p w14:paraId="3C9DD772">
            <w:pPr>
              <w:pStyle w:val="25"/>
              <w:ind w:firstLine="0" w:firstLineChars="0"/>
              <w:jc w:val="center"/>
              <w:rPr>
                <w:rFonts w:hint="eastAsia"/>
                <w:sz w:val="18"/>
                <w:szCs w:val="18"/>
              </w:rPr>
            </w:pPr>
            <w:r>
              <w:rPr>
                <w:rFonts w:hint="eastAsia"/>
                <w:sz w:val="18"/>
                <w:szCs w:val="18"/>
              </w:rPr>
              <w:t>12.8</w:t>
            </w:r>
          </w:p>
        </w:tc>
      </w:tr>
    </w:tbl>
    <w:p w14:paraId="6BAF5899">
      <w:pPr>
        <w:pStyle w:val="25"/>
        <w:ind w:firstLine="0" w:firstLineChars="0"/>
        <w:rPr>
          <w:rFonts w:hint="eastAsia"/>
        </w:rPr>
      </w:pPr>
      <w:r>
        <w:rPr>
          <w:rFonts w:hint="eastAsia" w:ascii="黑体" w:hAnsi="黑体" w:eastAsia="黑体"/>
        </w:rPr>
        <w:t>4.2.3</w:t>
      </w:r>
      <w:r>
        <w:rPr>
          <w:rFonts w:hint="eastAsia"/>
        </w:rPr>
        <w:t>　重型车用柴油机排放污染物应满足GB 17691-2018的限值要求，在1500米海拔以上地区使用时，污染物排放经劣化的结果应小于对应平原限值与高原限值扩展系数的乘积。</w:t>
      </w:r>
    </w:p>
    <w:p w14:paraId="40E6D826">
      <w:pPr>
        <w:pStyle w:val="45"/>
        <w:rPr>
          <w:rFonts w:hint="eastAsia"/>
        </w:rPr>
      </w:pPr>
      <w:r>
        <w:rPr>
          <w:rFonts w:hint="eastAsia"/>
        </w:rPr>
        <w:t>表3　高原限值扩展系数</w:t>
      </w:r>
    </w:p>
    <w:tbl>
      <w:tblPr>
        <w:tblStyle w:val="18"/>
        <w:tblW w:w="6576" w:type="dxa"/>
        <w:jc w:val="center"/>
        <w:tblLayout w:type="fixed"/>
        <w:tblCellMar>
          <w:top w:w="0" w:type="dxa"/>
          <w:left w:w="108" w:type="dxa"/>
          <w:bottom w:w="0" w:type="dxa"/>
          <w:right w:w="108" w:type="dxa"/>
        </w:tblCellMar>
      </w:tblPr>
      <w:tblGrid>
        <w:gridCol w:w="1590"/>
        <w:gridCol w:w="831"/>
        <w:gridCol w:w="831"/>
        <w:gridCol w:w="831"/>
        <w:gridCol w:w="831"/>
        <w:gridCol w:w="831"/>
        <w:gridCol w:w="831"/>
      </w:tblGrid>
      <w:tr w14:paraId="44082DA1">
        <w:trPr>
          <w:trHeight w:val="334" w:hRule="atLeast"/>
          <w:jc w:val="center"/>
        </w:trPr>
        <w:tc>
          <w:tcPr>
            <w:tcW w:w="1590" w:type="dxa"/>
            <w:tcBorders>
              <w:top w:val="single" w:color="000000" w:sz="4" w:space="0"/>
              <w:left w:val="single" w:color="000000" w:sz="4" w:space="0"/>
              <w:bottom w:val="single" w:color="000000" w:sz="4" w:space="0"/>
              <w:right w:val="single" w:color="000000" w:sz="4" w:space="0"/>
            </w:tcBorders>
            <w:noWrap/>
            <w:vAlign w:val="center"/>
          </w:tcPr>
          <w:p w14:paraId="72FEF94D">
            <w:pPr>
              <w:widowControl/>
              <w:jc w:val="center"/>
              <w:textAlignment w:val="center"/>
              <w:rPr>
                <w:rFonts w:hint="eastAsia" w:cs="宋体"/>
                <w:color w:val="000000"/>
                <w:sz w:val="18"/>
                <w:szCs w:val="18"/>
              </w:rPr>
            </w:pPr>
            <w:r>
              <w:rPr>
                <w:rFonts w:hint="eastAsia" w:cs="宋体"/>
                <w:color w:val="000000"/>
                <w:kern w:val="0"/>
                <w:sz w:val="18"/>
                <w:szCs w:val="18"/>
                <w:lang w:bidi="ar"/>
              </w:rPr>
              <w:t>海拔/m</w:t>
            </w:r>
          </w:p>
        </w:tc>
        <w:tc>
          <w:tcPr>
            <w:tcW w:w="831" w:type="dxa"/>
            <w:tcBorders>
              <w:top w:val="single" w:color="000000" w:sz="4" w:space="0"/>
              <w:left w:val="single" w:color="000000" w:sz="4" w:space="0"/>
              <w:bottom w:val="single" w:color="000000" w:sz="4" w:space="0"/>
              <w:right w:val="single" w:color="000000" w:sz="4" w:space="0"/>
            </w:tcBorders>
            <w:noWrap/>
            <w:vAlign w:val="bottom"/>
          </w:tcPr>
          <w:p w14:paraId="3AAEF476">
            <w:pPr>
              <w:widowControl/>
              <w:jc w:val="center"/>
              <w:textAlignment w:val="bottom"/>
              <w:rPr>
                <w:rFonts w:hint="eastAsia" w:cs="宋体"/>
                <w:color w:val="000000"/>
                <w:sz w:val="18"/>
                <w:szCs w:val="18"/>
              </w:rPr>
            </w:pPr>
            <w:r>
              <w:rPr>
                <w:rFonts w:hint="eastAsia" w:cs="宋体"/>
                <w:color w:val="000000"/>
                <w:kern w:val="0"/>
                <w:sz w:val="18"/>
                <w:szCs w:val="18"/>
                <w:lang w:bidi="ar"/>
              </w:rPr>
              <w:t>CO</w:t>
            </w:r>
          </w:p>
        </w:tc>
        <w:tc>
          <w:tcPr>
            <w:tcW w:w="831" w:type="dxa"/>
            <w:tcBorders>
              <w:top w:val="single" w:color="000000" w:sz="4" w:space="0"/>
              <w:left w:val="single" w:color="000000" w:sz="4" w:space="0"/>
              <w:bottom w:val="single" w:color="000000" w:sz="4" w:space="0"/>
              <w:right w:val="single" w:color="000000" w:sz="4" w:space="0"/>
            </w:tcBorders>
            <w:noWrap/>
            <w:vAlign w:val="bottom"/>
          </w:tcPr>
          <w:p w14:paraId="64E52583">
            <w:pPr>
              <w:widowControl/>
              <w:jc w:val="center"/>
              <w:textAlignment w:val="bottom"/>
              <w:rPr>
                <w:rFonts w:hint="eastAsia" w:cs="宋体"/>
                <w:color w:val="000000"/>
                <w:sz w:val="18"/>
                <w:szCs w:val="18"/>
              </w:rPr>
            </w:pPr>
            <w:r>
              <w:rPr>
                <w:rFonts w:hint="eastAsia" w:cs="宋体"/>
                <w:color w:val="000000"/>
                <w:kern w:val="0"/>
                <w:sz w:val="18"/>
                <w:szCs w:val="18"/>
                <w:lang w:bidi="ar"/>
              </w:rPr>
              <w:t>NOx</w:t>
            </w:r>
          </w:p>
        </w:tc>
        <w:tc>
          <w:tcPr>
            <w:tcW w:w="831" w:type="dxa"/>
            <w:tcBorders>
              <w:top w:val="single" w:color="000000" w:sz="4" w:space="0"/>
              <w:left w:val="single" w:color="000000" w:sz="4" w:space="0"/>
              <w:bottom w:val="single" w:color="000000" w:sz="4" w:space="0"/>
              <w:right w:val="single" w:color="000000" w:sz="4" w:space="0"/>
            </w:tcBorders>
            <w:noWrap/>
            <w:vAlign w:val="bottom"/>
          </w:tcPr>
          <w:p w14:paraId="45DCF9D7">
            <w:pPr>
              <w:widowControl/>
              <w:jc w:val="center"/>
              <w:textAlignment w:val="bottom"/>
              <w:rPr>
                <w:rFonts w:hint="eastAsia" w:cs="宋体"/>
                <w:color w:val="000000"/>
                <w:sz w:val="18"/>
                <w:szCs w:val="18"/>
              </w:rPr>
            </w:pPr>
            <w:r>
              <w:rPr>
                <w:rFonts w:hint="eastAsia" w:cs="宋体"/>
                <w:color w:val="000000"/>
                <w:kern w:val="0"/>
                <w:sz w:val="18"/>
                <w:szCs w:val="18"/>
                <w:lang w:bidi="ar"/>
              </w:rPr>
              <w:t>THC</w:t>
            </w:r>
          </w:p>
        </w:tc>
        <w:tc>
          <w:tcPr>
            <w:tcW w:w="831" w:type="dxa"/>
            <w:tcBorders>
              <w:top w:val="single" w:color="000000" w:sz="4" w:space="0"/>
              <w:left w:val="single" w:color="000000" w:sz="4" w:space="0"/>
              <w:bottom w:val="single" w:color="000000" w:sz="4" w:space="0"/>
              <w:right w:val="single" w:color="000000" w:sz="4" w:space="0"/>
            </w:tcBorders>
            <w:noWrap/>
            <w:vAlign w:val="bottom"/>
          </w:tcPr>
          <w:p w14:paraId="4969927C">
            <w:pPr>
              <w:widowControl/>
              <w:jc w:val="center"/>
              <w:textAlignment w:val="bottom"/>
              <w:rPr>
                <w:rFonts w:hint="eastAsia" w:cs="宋体"/>
                <w:color w:val="000000"/>
                <w:sz w:val="18"/>
                <w:szCs w:val="18"/>
              </w:rPr>
            </w:pPr>
            <w:r>
              <w:rPr>
                <w:rFonts w:hint="eastAsia" w:cs="宋体"/>
                <w:color w:val="000000"/>
                <w:kern w:val="0"/>
                <w:sz w:val="18"/>
                <w:szCs w:val="18"/>
                <w:lang w:bidi="ar"/>
              </w:rPr>
              <w:t>NH3</w:t>
            </w:r>
          </w:p>
        </w:tc>
        <w:tc>
          <w:tcPr>
            <w:tcW w:w="831" w:type="dxa"/>
            <w:tcBorders>
              <w:top w:val="single" w:color="000000" w:sz="4" w:space="0"/>
              <w:left w:val="single" w:color="000000" w:sz="4" w:space="0"/>
              <w:bottom w:val="single" w:color="000000" w:sz="4" w:space="0"/>
              <w:right w:val="single" w:color="000000" w:sz="4" w:space="0"/>
            </w:tcBorders>
            <w:noWrap/>
            <w:vAlign w:val="bottom"/>
          </w:tcPr>
          <w:p w14:paraId="72256FAB">
            <w:pPr>
              <w:widowControl/>
              <w:jc w:val="center"/>
              <w:textAlignment w:val="bottom"/>
              <w:rPr>
                <w:rFonts w:hint="eastAsia" w:cs="宋体"/>
                <w:color w:val="000000"/>
                <w:sz w:val="18"/>
                <w:szCs w:val="18"/>
              </w:rPr>
            </w:pPr>
            <w:r>
              <w:rPr>
                <w:rFonts w:hint="eastAsia" w:cs="宋体"/>
                <w:color w:val="000000"/>
                <w:kern w:val="0"/>
                <w:sz w:val="18"/>
                <w:szCs w:val="18"/>
                <w:lang w:bidi="ar"/>
              </w:rPr>
              <w:t>PM</w:t>
            </w:r>
          </w:p>
        </w:tc>
        <w:tc>
          <w:tcPr>
            <w:tcW w:w="831" w:type="dxa"/>
            <w:tcBorders>
              <w:top w:val="single" w:color="000000" w:sz="4" w:space="0"/>
              <w:left w:val="single" w:color="000000" w:sz="4" w:space="0"/>
              <w:bottom w:val="single" w:color="000000" w:sz="4" w:space="0"/>
              <w:right w:val="single" w:color="000000" w:sz="4" w:space="0"/>
            </w:tcBorders>
            <w:noWrap/>
            <w:vAlign w:val="bottom"/>
          </w:tcPr>
          <w:p w14:paraId="2139DE0C">
            <w:pPr>
              <w:widowControl/>
              <w:jc w:val="center"/>
              <w:textAlignment w:val="bottom"/>
              <w:rPr>
                <w:rFonts w:hint="eastAsia" w:cs="宋体"/>
                <w:color w:val="000000"/>
                <w:sz w:val="18"/>
                <w:szCs w:val="18"/>
              </w:rPr>
            </w:pPr>
            <w:r>
              <w:rPr>
                <w:rFonts w:hint="eastAsia" w:cs="宋体"/>
                <w:color w:val="000000"/>
                <w:kern w:val="0"/>
                <w:sz w:val="18"/>
                <w:szCs w:val="18"/>
                <w:lang w:bidi="ar"/>
              </w:rPr>
              <w:t>PN</w:t>
            </w:r>
          </w:p>
        </w:tc>
      </w:tr>
      <w:tr w14:paraId="0E3A7AFD">
        <w:tblPrEx>
          <w:tblCellMar>
            <w:top w:w="0" w:type="dxa"/>
            <w:left w:w="108" w:type="dxa"/>
            <w:bottom w:w="0" w:type="dxa"/>
            <w:right w:w="108" w:type="dxa"/>
          </w:tblCellMar>
        </w:tblPrEx>
        <w:trPr>
          <w:trHeight w:val="326" w:hRule="atLeast"/>
          <w:jc w:val="center"/>
        </w:trPr>
        <w:tc>
          <w:tcPr>
            <w:tcW w:w="1590" w:type="dxa"/>
            <w:tcBorders>
              <w:top w:val="single" w:color="000000" w:sz="4" w:space="0"/>
              <w:left w:val="single" w:color="000000" w:sz="4" w:space="0"/>
              <w:bottom w:val="single" w:color="000000" w:sz="4" w:space="0"/>
              <w:right w:val="single" w:color="000000" w:sz="4" w:space="0"/>
            </w:tcBorders>
            <w:noWrap/>
            <w:vAlign w:val="center"/>
          </w:tcPr>
          <w:p w14:paraId="08CB46F8">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H≤2400</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796E4486">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1647BDDF">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594BCAC8">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4BAF5264">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1FF8AA36">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21A691F7">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r>
      <w:tr w14:paraId="1D74A748">
        <w:tblPrEx>
          <w:tblCellMar>
            <w:top w:w="0" w:type="dxa"/>
            <w:left w:w="108" w:type="dxa"/>
            <w:bottom w:w="0" w:type="dxa"/>
            <w:right w:w="108" w:type="dxa"/>
          </w:tblCellMar>
        </w:tblPrEx>
        <w:trPr>
          <w:trHeight w:val="326" w:hRule="atLeast"/>
          <w:jc w:val="center"/>
        </w:trPr>
        <w:tc>
          <w:tcPr>
            <w:tcW w:w="1590" w:type="dxa"/>
            <w:tcBorders>
              <w:top w:val="single" w:color="000000" w:sz="4" w:space="0"/>
              <w:left w:val="single" w:color="000000" w:sz="4" w:space="0"/>
              <w:bottom w:val="single" w:color="000000" w:sz="4" w:space="0"/>
              <w:right w:val="single" w:color="000000" w:sz="4" w:space="0"/>
            </w:tcBorders>
            <w:noWrap/>
            <w:vAlign w:val="center"/>
          </w:tcPr>
          <w:p w14:paraId="748CEF9C">
            <w:pPr>
              <w:widowControl/>
              <w:jc w:val="center"/>
              <w:textAlignment w:val="center"/>
              <w:rPr>
                <w:rFonts w:hint="eastAsia" w:cs="宋体"/>
                <w:color w:val="000000"/>
                <w:sz w:val="18"/>
                <w:szCs w:val="18"/>
              </w:rPr>
            </w:pPr>
            <w:r>
              <w:rPr>
                <w:rFonts w:hint="eastAsia" w:cs="宋体"/>
                <w:color w:val="000000"/>
                <w:kern w:val="0"/>
                <w:sz w:val="18"/>
                <w:szCs w:val="18"/>
                <w:lang w:bidi="ar"/>
              </w:rPr>
              <w:t>2400＜H≤3000</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5DD11A3F">
            <w:pPr>
              <w:widowControl/>
              <w:jc w:val="center"/>
              <w:textAlignment w:val="center"/>
              <w:rPr>
                <w:rFonts w:hint="eastAsia" w:cs="宋体"/>
                <w:color w:val="000000"/>
                <w:sz w:val="18"/>
                <w:szCs w:val="18"/>
              </w:rPr>
            </w:pPr>
            <w:r>
              <w:rPr>
                <w:rFonts w:hint="eastAsia" w:cs="宋体"/>
                <w:color w:val="000000"/>
                <w:kern w:val="0"/>
                <w:sz w:val="18"/>
                <w:szCs w:val="18"/>
                <w:lang w:bidi="ar"/>
              </w:rPr>
              <w:t>1.3</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39E8D65A">
            <w:pPr>
              <w:widowControl/>
              <w:jc w:val="center"/>
              <w:textAlignment w:val="center"/>
              <w:rPr>
                <w:rFonts w:hint="eastAsia" w:cs="宋体"/>
                <w:color w:val="000000"/>
                <w:sz w:val="18"/>
                <w:szCs w:val="18"/>
              </w:rPr>
            </w:pPr>
            <w:r>
              <w:rPr>
                <w:rFonts w:hint="eastAsia" w:cs="宋体"/>
                <w:color w:val="000000"/>
                <w:kern w:val="0"/>
                <w:sz w:val="18"/>
                <w:szCs w:val="18"/>
                <w:lang w:bidi="ar"/>
              </w:rPr>
              <w:t>1.3</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34741104">
            <w:pPr>
              <w:widowControl/>
              <w:jc w:val="center"/>
              <w:textAlignment w:val="center"/>
              <w:rPr>
                <w:rFonts w:hint="eastAsia" w:cs="宋体"/>
                <w:color w:val="000000"/>
                <w:sz w:val="18"/>
                <w:szCs w:val="18"/>
              </w:rPr>
            </w:pPr>
            <w:r>
              <w:rPr>
                <w:rFonts w:hint="eastAsia" w:cs="宋体"/>
                <w:color w:val="000000"/>
                <w:kern w:val="0"/>
                <w:sz w:val="18"/>
                <w:szCs w:val="18"/>
                <w:lang w:bidi="ar"/>
              </w:rPr>
              <w:t>1.3</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63BD8385">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786B6093">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4A64F0BF">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r>
      <w:tr w14:paraId="44ECCB4F">
        <w:tblPrEx>
          <w:tblCellMar>
            <w:top w:w="0" w:type="dxa"/>
            <w:left w:w="108" w:type="dxa"/>
            <w:bottom w:w="0" w:type="dxa"/>
            <w:right w:w="108" w:type="dxa"/>
          </w:tblCellMar>
        </w:tblPrEx>
        <w:trPr>
          <w:trHeight w:val="334" w:hRule="atLeast"/>
          <w:jc w:val="center"/>
        </w:trPr>
        <w:tc>
          <w:tcPr>
            <w:tcW w:w="1590" w:type="dxa"/>
            <w:tcBorders>
              <w:top w:val="single" w:color="000000" w:sz="4" w:space="0"/>
              <w:left w:val="single" w:color="000000" w:sz="4" w:space="0"/>
              <w:bottom w:val="single" w:color="000000" w:sz="4" w:space="0"/>
              <w:right w:val="single" w:color="000000" w:sz="4" w:space="0"/>
            </w:tcBorders>
            <w:noWrap/>
            <w:vAlign w:val="center"/>
          </w:tcPr>
          <w:p w14:paraId="1F422B1B">
            <w:pPr>
              <w:widowControl/>
              <w:jc w:val="center"/>
              <w:textAlignment w:val="center"/>
              <w:rPr>
                <w:rFonts w:hint="eastAsia" w:cs="宋体"/>
                <w:color w:val="000000"/>
                <w:sz w:val="18"/>
                <w:szCs w:val="18"/>
              </w:rPr>
            </w:pPr>
            <w:r>
              <w:rPr>
                <w:rFonts w:hint="eastAsia" w:cs="宋体"/>
                <w:color w:val="000000"/>
                <w:kern w:val="0"/>
                <w:sz w:val="18"/>
                <w:szCs w:val="18"/>
                <w:lang w:bidi="ar"/>
              </w:rPr>
              <w:t>3000＜H≤4000</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487C7C41">
            <w:pPr>
              <w:widowControl/>
              <w:jc w:val="center"/>
              <w:textAlignment w:val="center"/>
              <w:rPr>
                <w:rFonts w:hint="eastAsia" w:cs="宋体"/>
                <w:color w:val="000000"/>
                <w:sz w:val="18"/>
                <w:szCs w:val="18"/>
              </w:rPr>
            </w:pPr>
            <w:r>
              <w:rPr>
                <w:rFonts w:hint="eastAsia" w:cs="宋体"/>
                <w:color w:val="000000"/>
                <w:kern w:val="0"/>
                <w:sz w:val="18"/>
                <w:szCs w:val="18"/>
                <w:lang w:bidi="ar"/>
              </w:rPr>
              <w:t>1.5</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6AB7B475">
            <w:pPr>
              <w:widowControl/>
              <w:jc w:val="center"/>
              <w:textAlignment w:val="center"/>
              <w:rPr>
                <w:rFonts w:hint="eastAsia" w:cs="宋体"/>
                <w:color w:val="000000"/>
                <w:sz w:val="18"/>
                <w:szCs w:val="18"/>
              </w:rPr>
            </w:pPr>
            <w:r>
              <w:rPr>
                <w:rFonts w:hint="eastAsia" w:cs="宋体"/>
                <w:color w:val="000000"/>
                <w:kern w:val="0"/>
                <w:sz w:val="18"/>
                <w:szCs w:val="18"/>
                <w:lang w:bidi="ar"/>
              </w:rPr>
              <w:t>1.5</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2492ED75">
            <w:pPr>
              <w:widowControl/>
              <w:jc w:val="center"/>
              <w:textAlignment w:val="center"/>
              <w:rPr>
                <w:rFonts w:hint="eastAsia" w:cs="宋体"/>
                <w:color w:val="000000"/>
                <w:sz w:val="18"/>
                <w:szCs w:val="18"/>
              </w:rPr>
            </w:pPr>
            <w:r>
              <w:rPr>
                <w:rFonts w:hint="eastAsia" w:cs="宋体"/>
                <w:color w:val="000000"/>
                <w:kern w:val="0"/>
                <w:sz w:val="18"/>
                <w:szCs w:val="18"/>
                <w:lang w:bidi="ar"/>
              </w:rPr>
              <w:t>1.5</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33AC6C22">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78BD2AE4">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0C23652B">
            <w:pPr>
              <w:widowControl/>
              <w:jc w:val="center"/>
              <w:textAlignment w:val="center"/>
              <w:rPr>
                <w:rFonts w:hint="eastAsia" w:cs="宋体"/>
                <w:color w:val="000000"/>
                <w:sz w:val="18"/>
                <w:szCs w:val="18"/>
              </w:rPr>
            </w:pPr>
            <w:r>
              <w:rPr>
                <w:rFonts w:hint="eastAsia" w:cs="宋体"/>
                <w:color w:val="000000"/>
                <w:kern w:val="0"/>
                <w:sz w:val="18"/>
                <w:szCs w:val="18"/>
                <w:lang w:bidi="ar"/>
              </w:rPr>
              <w:t>1</w:t>
            </w:r>
          </w:p>
        </w:tc>
      </w:tr>
      <w:tr w14:paraId="605E8F76">
        <w:tblPrEx>
          <w:tblCellMar>
            <w:top w:w="0" w:type="dxa"/>
            <w:left w:w="108" w:type="dxa"/>
            <w:bottom w:w="0" w:type="dxa"/>
            <w:right w:w="108" w:type="dxa"/>
          </w:tblCellMar>
        </w:tblPrEx>
        <w:trPr>
          <w:trHeight w:val="334" w:hRule="atLeast"/>
          <w:jc w:val="center"/>
        </w:trPr>
        <w:tc>
          <w:tcPr>
            <w:tcW w:w="1590" w:type="dxa"/>
            <w:tcBorders>
              <w:top w:val="single" w:color="000000" w:sz="4" w:space="0"/>
              <w:left w:val="single" w:color="000000" w:sz="4" w:space="0"/>
              <w:bottom w:val="single" w:color="000000" w:sz="4" w:space="0"/>
              <w:right w:val="single" w:color="000000" w:sz="4" w:space="0"/>
            </w:tcBorders>
            <w:noWrap/>
            <w:vAlign w:val="center"/>
          </w:tcPr>
          <w:p w14:paraId="4B406160">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H＞4000</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7FE48B3E">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2.0</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7DBED4E3">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2.0</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1CFA02FA">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2.0</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3E50E3B2">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403C0A51">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c>
          <w:tcPr>
            <w:tcW w:w="831" w:type="dxa"/>
            <w:tcBorders>
              <w:top w:val="single" w:color="000000" w:sz="4" w:space="0"/>
              <w:left w:val="single" w:color="000000" w:sz="4" w:space="0"/>
              <w:bottom w:val="single" w:color="000000" w:sz="4" w:space="0"/>
              <w:right w:val="single" w:color="000000" w:sz="4" w:space="0"/>
            </w:tcBorders>
            <w:noWrap/>
            <w:vAlign w:val="center"/>
          </w:tcPr>
          <w:p w14:paraId="5A64996B">
            <w:pPr>
              <w:widowControl/>
              <w:jc w:val="center"/>
              <w:textAlignment w:val="center"/>
              <w:rPr>
                <w:rFonts w:hint="eastAsia" w:cs="宋体"/>
                <w:color w:val="000000"/>
                <w:kern w:val="0"/>
                <w:sz w:val="18"/>
                <w:szCs w:val="18"/>
                <w:lang w:bidi="ar"/>
              </w:rPr>
            </w:pPr>
            <w:r>
              <w:rPr>
                <w:rFonts w:hint="eastAsia" w:cs="宋体"/>
                <w:color w:val="000000"/>
                <w:kern w:val="0"/>
                <w:sz w:val="18"/>
                <w:szCs w:val="18"/>
                <w:lang w:bidi="ar"/>
              </w:rPr>
              <w:t>1</w:t>
            </w:r>
          </w:p>
        </w:tc>
      </w:tr>
      <w:tr w14:paraId="2A5D081D">
        <w:tblPrEx>
          <w:tblCellMar>
            <w:top w:w="0" w:type="dxa"/>
            <w:left w:w="108" w:type="dxa"/>
            <w:bottom w:w="0" w:type="dxa"/>
            <w:right w:w="108" w:type="dxa"/>
          </w:tblCellMar>
        </w:tblPrEx>
        <w:trPr>
          <w:trHeight w:val="344" w:hRule="atLeast"/>
          <w:jc w:val="center"/>
        </w:trPr>
        <w:tc>
          <w:tcPr>
            <w:tcW w:w="6576" w:type="dxa"/>
            <w:gridSpan w:val="7"/>
            <w:tcBorders>
              <w:top w:val="single" w:color="000000" w:sz="4" w:space="0"/>
              <w:left w:val="single" w:color="000000" w:sz="4" w:space="0"/>
              <w:bottom w:val="single" w:color="000000" w:sz="4" w:space="0"/>
              <w:right w:val="single" w:color="000000" w:sz="4" w:space="0"/>
            </w:tcBorders>
            <w:noWrap/>
            <w:vAlign w:val="center"/>
          </w:tcPr>
          <w:p w14:paraId="26B289CB">
            <w:pPr>
              <w:widowControl/>
              <w:jc w:val="left"/>
              <w:textAlignment w:val="center"/>
              <w:rPr>
                <w:rFonts w:hint="eastAsia" w:cs="宋体"/>
                <w:color w:val="000000"/>
                <w:kern w:val="0"/>
                <w:sz w:val="18"/>
                <w:szCs w:val="18"/>
                <w:lang w:bidi="ar"/>
              </w:rPr>
            </w:pPr>
            <w:r>
              <w:rPr>
                <w:rFonts w:hint="eastAsia" w:cs="宋体"/>
                <w:color w:val="000000"/>
                <w:kern w:val="0"/>
                <w:sz w:val="18"/>
                <w:szCs w:val="18"/>
                <w:lang w:bidi="ar"/>
              </w:rPr>
              <w:t>注：H代表海拔高度</w:t>
            </w:r>
          </w:p>
        </w:tc>
      </w:tr>
    </w:tbl>
    <w:p w14:paraId="4E0D126E">
      <w:pPr>
        <w:pStyle w:val="25"/>
        <w:ind w:firstLine="0" w:firstLineChars="0"/>
        <w:rPr>
          <w:rFonts w:hint="eastAsia"/>
        </w:rPr>
      </w:pPr>
      <w:r>
        <w:rPr>
          <w:rFonts w:hint="eastAsia" w:ascii="黑体" w:hAnsi="黑体" w:eastAsia="黑体"/>
        </w:rPr>
        <w:t>4.2.4</w:t>
      </w:r>
      <w:r>
        <w:rPr>
          <w:rFonts w:hint="eastAsia"/>
        </w:rPr>
        <w:t>　在不同高海拔环境下的起动性能满足XXX</w:t>
      </w:r>
      <w:r>
        <w:rPr>
          <w:rFonts w:hint="eastAsia" w:cs="宋体"/>
          <w:szCs w:val="21"/>
        </w:rPr>
        <w:t>《柴油机高原冷起动及加载测试方法》的要求</w:t>
      </w:r>
      <w:r>
        <w:rPr>
          <w:rFonts w:hint="eastAsia"/>
        </w:rPr>
        <w:t>。</w:t>
      </w:r>
    </w:p>
    <w:p w14:paraId="6688F441">
      <w:pPr>
        <w:pStyle w:val="25"/>
        <w:ind w:firstLine="0" w:firstLineChars="0"/>
        <w:rPr>
          <w:rFonts w:hint="eastAsia"/>
        </w:rPr>
      </w:pPr>
      <w:r>
        <w:rPr>
          <w:rFonts w:hint="eastAsia" w:ascii="黑体" w:hAnsi="黑体" w:eastAsia="黑体"/>
        </w:rPr>
        <w:t>4.2.5</w:t>
      </w:r>
      <w:r>
        <w:rPr>
          <w:rFonts w:hint="eastAsia"/>
        </w:rPr>
        <w:t>　机油/燃油消耗比、全负荷最大活塞漏气量在高海拔环境下应满足GB/T 19055-2024或制造厂规定的要求。</w:t>
      </w:r>
    </w:p>
    <w:p w14:paraId="2F0F49D7">
      <w:pPr>
        <w:pStyle w:val="25"/>
        <w:ind w:firstLine="0" w:firstLineChars="0"/>
        <w:rPr>
          <w:rFonts w:hint="eastAsia"/>
        </w:rPr>
      </w:pPr>
      <w:r>
        <w:rPr>
          <w:rFonts w:hint="eastAsia" w:ascii="黑体" w:hAnsi="黑体" w:eastAsia="黑体"/>
        </w:rPr>
        <w:t>4.2.6</w:t>
      </w:r>
      <w:r>
        <w:rPr>
          <w:rFonts w:hint="eastAsia"/>
        </w:rPr>
        <w:t>　在高海拔环境下的怠速稳定性应满足GB/T 18297-2024怠速质量评定的及格要求。</w:t>
      </w:r>
    </w:p>
    <w:p w14:paraId="789089FB">
      <w:pPr>
        <w:pStyle w:val="25"/>
        <w:ind w:firstLine="0" w:firstLineChars="0"/>
        <w:rPr>
          <w:rFonts w:hint="eastAsia"/>
        </w:rPr>
      </w:pPr>
      <w:r>
        <w:rPr>
          <w:rFonts w:hint="eastAsia" w:ascii="黑体" w:hAnsi="黑体" w:eastAsia="黑体"/>
        </w:rPr>
        <w:t>4.2.7</w:t>
      </w:r>
      <w:r>
        <w:rPr>
          <w:rFonts w:hint="eastAsia"/>
        </w:rPr>
        <w:t>　在高海拔环境下新机不得有漏气、漏液、漏油现象。</w:t>
      </w:r>
    </w:p>
    <w:p w14:paraId="5C0A49F5">
      <w:pPr>
        <w:pStyle w:val="38"/>
        <w:rPr>
          <w:rFonts w:hint="eastAsia"/>
        </w:rPr>
      </w:pPr>
      <w:bookmarkStart w:id="24" w:name="_Toc1530"/>
      <w:bookmarkStart w:id="25" w:name="_Toc13983"/>
      <w:r>
        <w:t>4.</w:t>
      </w:r>
      <w:r>
        <w:rPr>
          <w:rFonts w:hint="eastAsia"/>
        </w:rPr>
        <w:t>3　高原可靠性要求</w:t>
      </w:r>
      <w:bookmarkEnd w:id="24"/>
      <w:bookmarkEnd w:id="25"/>
    </w:p>
    <w:p w14:paraId="11C42BE0">
      <w:pPr>
        <w:pStyle w:val="25"/>
        <w:ind w:firstLine="0" w:firstLineChars="0"/>
        <w:rPr>
          <w:rFonts w:hint="eastAsia"/>
        </w:rPr>
      </w:pPr>
      <w:r>
        <w:rPr>
          <w:rFonts w:hint="eastAsia" w:ascii="黑体" w:hAnsi="黑体" w:eastAsia="黑体"/>
        </w:rPr>
        <w:t>4.3.1</w:t>
      </w:r>
      <w:r>
        <w:rPr>
          <w:rFonts w:hint="eastAsia"/>
        </w:rPr>
        <w:t>　在高海拔环境下的可靠性应满足 GB/T 19055可靠性评定的通过要求。</w:t>
      </w:r>
    </w:p>
    <w:p w14:paraId="2DD3EB1F">
      <w:pPr>
        <w:pStyle w:val="25"/>
        <w:ind w:firstLine="0" w:firstLineChars="0"/>
        <w:rPr>
          <w:rFonts w:hint="eastAsia"/>
        </w:rPr>
      </w:pPr>
      <w:r>
        <w:rPr>
          <w:rFonts w:hint="eastAsia" w:ascii="黑体" w:hAnsi="黑体" w:eastAsia="黑体"/>
        </w:rPr>
        <w:t>4.3.2</w:t>
      </w:r>
      <w:r>
        <w:rPr>
          <w:rFonts w:hint="eastAsia"/>
        </w:rPr>
        <w:t>　在高海拔环境下柴油机应没有重大的结构损坏。</w:t>
      </w:r>
    </w:p>
    <w:p w14:paraId="35EFC753">
      <w:pPr>
        <w:pStyle w:val="38"/>
        <w:rPr>
          <w:rFonts w:hint="eastAsia"/>
        </w:rPr>
      </w:pPr>
      <w:bookmarkStart w:id="26" w:name="_Toc18930"/>
      <w:bookmarkStart w:id="27" w:name="_Toc13567"/>
      <w:r>
        <w:rPr>
          <w:rFonts w:hint="eastAsia"/>
        </w:rPr>
        <w:t>4.4　安全性要求</w:t>
      </w:r>
      <w:bookmarkEnd w:id="26"/>
      <w:bookmarkEnd w:id="27"/>
    </w:p>
    <w:p w14:paraId="4ABE846F">
      <w:pPr>
        <w:pStyle w:val="25"/>
        <w:ind w:firstLine="420"/>
        <w:rPr>
          <w:rFonts w:hint="eastAsia"/>
        </w:rPr>
      </w:pPr>
      <w:r>
        <w:rPr>
          <w:rFonts w:hint="eastAsia"/>
        </w:rPr>
        <w:t>重型车用柴油机应具有以下报警功能及安全保护：</w:t>
      </w:r>
    </w:p>
    <w:p w14:paraId="09EB6288">
      <w:pPr>
        <w:numPr>
          <w:ilvl w:val="0"/>
          <w:numId w:val="2"/>
        </w:numPr>
        <w:ind w:left="420" w:firstLine="0"/>
        <w:rPr>
          <w:rFonts w:hint="eastAsia" w:cs="宋体"/>
          <w:szCs w:val="21"/>
        </w:rPr>
      </w:pPr>
      <w:r>
        <w:rPr>
          <w:rFonts w:hint="eastAsia" w:cs="宋体"/>
          <w:szCs w:val="21"/>
        </w:rPr>
        <w:t>超转速报警和保护（始终起作用）；</w:t>
      </w:r>
    </w:p>
    <w:p w14:paraId="262FA478">
      <w:pPr>
        <w:numPr>
          <w:ilvl w:val="0"/>
          <w:numId w:val="2"/>
        </w:numPr>
        <w:ind w:left="420" w:firstLine="0"/>
        <w:rPr>
          <w:rFonts w:hint="eastAsia" w:cs="宋体"/>
          <w:szCs w:val="21"/>
        </w:rPr>
      </w:pPr>
      <w:r>
        <w:rPr>
          <w:rFonts w:hint="eastAsia" w:cs="宋体"/>
          <w:szCs w:val="21"/>
        </w:rPr>
        <w:t>超增压保护（始终起作用，仅适用于增压柴油机）；</w:t>
      </w:r>
    </w:p>
    <w:p w14:paraId="0CC557C1">
      <w:pPr>
        <w:numPr>
          <w:ilvl w:val="0"/>
          <w:numId w:val="2"/>
        </w:numPr>
        <w:ind w:left="420" w:firstLine="0"/>
        <w:rPr>
          <w:rFonts w:hint="eastAsia" w:cs="宋体"/>
          <w:szCs w:val="21"/>
        </w:rPr>
      </w:pPr>
      <w:r>
        <w:rPr>
          <w:rFonts w:hint="eastAsia" w:cs="宋体"/>
          <w:szCs w:val="21"/>
        </w:rPr>
        <w:t>冷却液超温报警或保护；</w:t>
      </w:r>
    </w:p>
    <w:p w14:paraId="09C43785">
      <w:pPr>
        <w:numPr>
          <w:ilvl w:val="0"/>
          <w:numId w:val="2"/>
        </w:numPr>
        <w:ind w:left="420" w:firstLine="0"/>
        <w:rPr>
          <w:rFonts w:hint="eastAsia" w:cs="宋体"/>
          <w:szCs w:val="21"/>
        </w:rPr>
      </w:pPr>
      <w:r>
        <w:rPr>
          <w:rFonts w:hint="eastAsia" w:cs="宋体"/>
          <w:szCs w:val="21"/>
        </w:rPr>
        <w:t>进气管超温保护。</w:t>
      </w:r>
    </w:p>
    <w:p w14:paraId="4792A9D4">
      <w:pPr>
        <w:pStyle w:val="39"/>
        <w:rPr>
          <w:rFonts w:hint="eastAsia"/>
        </w:rPr>
      </w:pPr>
      <w:bookmarkStart w:id="28" w:name="_Toc7448"/>
      <w:bookmarkStart w:id="29" w:name="_Toc3242"/>
      <w:r>
        <w:rPr>
          <w:rFonts w:hint="eastAsia"/>
        </w:rPr>
        <w:t>5　试验方法</w:t>
      </w:r>
      <w:bookmarkEnd w:id="28"/>
      <w:bookmarkEnd w:id="29"/>
    </w:p>
    <w:p w14:paraId="608A12EA">
      <w:pPr>
        <w:rPr>
          <w:rFonts w:hint="eastAsia" w:cs="宋体"/>
          <w:szCs w:val="21"/>
        </w:rPr>
      </w:pPr>
      <w:bookmarkStart w:id="30" w:name="_Toc19118"/>
      <w:bookmarkStart w:id="31" w:name="_Toc30899"/>
      <w:bookmarkStart w:id="32" w:name="_Toc19677"/>
      <w:bookmarkStart w:id="33" w:name="_Toc717"/>
      <w:bookmarkStart w:id="34" w:name="_Toc11414"/>
      <w:bookmarkStart w:id="35" w:name="_Toc29943"/>
      <w:bookmarkStart w:id="36" w:name="_Toc25262"/>
      <w:bookmarkStart w:id="37" w:name="_Toc8332"/>
      <w:bookmarkStart w:id="38" w:name="_Toc16210"/>
      <w:r>
        <w:rPr>
          <w:rFonts w:hint="eastAsia" w:ascii="黑体" w:hAnsi="Calibri" w:eastAsia="黑体" w:cs="Times New Roman"/>
          <w:szCs w:val="21"/>
        </w:rPr>
        <w:t>5.1</w:t>
      </w:r>
      <w:r>
        <w:rPr>
          <w:rFonts w:hint="eastAsia"/>
        </w:rPr>
        <w:t>　</w:t>
      </w:r>
      <w:r>
        <w:rPr>
          <w:rFonts w:hint="eastAsia" w:cs="宋体"/>
          <w:szCs w:val="21"/>
        </w:rPr>
        <w:t>可通过环境模拟装置模拟高海拔环境条件开展试验，其中进排气环境模拟装置应满足XXX《发动机进排气海拔模拟测试条件方法》的要求。</w:t>
      </w:r>
    </w:p>
    <w:p w14:paraId="2C04803D">
      <w:pPr>
        <w:pStyle w:val="2"/>
        <w:rPr>
          <w:rFonts w:hint="eastAsia"/>
        </w:rPr>
      </w:pPr>
      <w:r>
        <w:rPr>
          <w:rFonts w:hint="eastAsia" w:ascii="黑体" w:hAnsi="Calibri" w:eastAsia="黑体" w:cs="Times New Roman"/>
          <w:szCs w:val="21"/>
        </w:rPr>
        <w:t>5.2</w:t>
      </w:r>
      <w:r>
        <w:rPr>
          <w:rFonts w:hint="eastAsia"/>
        </w:rPr>
        <w:t>　</w:t>
      </w:r>
      <w:r>
        <w:rPr>
          <w:rFonts w:hint="eastAsia" w:cs="宋体"/>
          <w:szCs w:val="21"/>
        </w:rPr>
        <w:t>在高海拔环境下的边界条件控制按TCSICE 002-2023 5.2条的要求进行；在高海拔环境下按标准规定测试工况无法达到相应扭矩要求时，应将油门置于100%位置。</w:t>
      </w:r>
    </w:p>
    <w:p w14:paraId="43B866D9">
      <w:pPr>
        <w:pStyle w:val="2"/>
        <w:rPr>
          <w:rFonts w:hint="eastAsia" w:cs="宋体"/>
          <w:szCs w:val="21"/>
        </w:rPr>
      </w:pPr>
      <w:r>
        <w:rPr>
          <w:rFonts w:hint="eastAsia" w:ascii="黑体" w:hAnsi="Calibri" w:eastAsia="黑体" w:cs="Times New Roman"/>
          <w:szCs w:val="21"/>
        </w:rPr>
        <w:t>5.3</w:t>
      </w:r>
      <w:r>
        <w:rPr>
          <w:rFonts w:hint="eastAsia"/>
        </w:rPr>
        <w:t>　</w:t>
      </w:r>
      <w:bookmarkEnd w:id="30"/>
      <w:bookmarkEnd w:id="31"/>
      <w:bookmarkEnd w:id="32"/>
      <w:bookmarkEnd w:id="33"/>
      <w:bookmarkEnd w:id="34"/>
      <w:bookmarkEnd w:id="35"/>
      <w:bookmarkEnd w:id="36"/>
      <w:bookmarkEnd w:id="37"/>
      <w:bookmarkEnd w:id="38"/>
      <w:r>
        <w:rPr>
          <w:rFonts w:hint="eastAsia" w:cs="宋体"/>
          <w:szCs w:val="21"/>
        </w:rPr>
        <w:t>在高海拔环境下的净功率试验按照GB/T 17692-2024有关规定进行。</w:t>
      </w:r>
    </w:p>
    <w:p w14:paraId="144E5FA3">
      <w:pPr>
        <w:rPr>
          <w:rFonts w:ascii="黑体" w:hAnsi="Calibri" w:cs="Times New Roman"/>
          <w:szCs w:val="21"/>
        </w:rPr>
      </w:pPr>
      <w:r>
        <w:rPr>
          <w:rFonts w:hint="eastAsia" w:ascii="黑体" w:hAnsi="Calibri" w:eastAsia="黑体" w:cs="Times New Roman"/>
          <w:szCs w:val="21"/>
        </w:rPr>
        <w:t>5.4</w:t>
      </w:r>
      <w:r>
        <w:rPr>
          <w:rFonts w:hint="eastAsia"/>
        </w:rPr>
        <w:t>　在高海拔环境下的最低燃油消耗率试验按照GB/T 18297-2024 8.12条的要求进行测试，从所有测量点中选出最低燃油消耗率的工况点。</w:t>
      </w:r>
    </w:p>
    <w:p w14:paraId="1DB7AAA9">
      <w:pPr>
        <w:rPr>
          <w:rFonts w:hint="eastAsia"/>
        </w:rPr>
      </w:pPr>
      <w:r>
        <w:rPr>
          <w:rFonts w:hint="eastAsia" w:ascii="黑体" w:hAnsi="Calibri" w:eastAsia="黑体" w:cs="Times New Roman"/>
          <w:szCs w:val="21"/>
        </w:rPr>
        <w:t>5.5</w:t>
      </w:r>
      <w:r>
        <w:rPr>
          <w:rFonts w:hint="eastAsia"/>
        </w:rPr>
        <w:t>　</w:t>
      </w:r>
      <w:r>
        <w:rPr>
          <w:rFonts w:hint="eastAsia" w:cs="宋体"/>
          <w:szCs w:val="21"/>
        </w:rPr>
        <w:t>在高海拔环境下的起动试验按照</w:t>
      </w:r>
      <w:r>
        <w:rPr>
          <w:rFonts w:hint="eastAsia" w:cs="宋体"/>
          <w:kern w:val="0"/>
          <w:szCs w:val="21"/>
          <w:lang w:bidi="ar"/>
        </w:rPr>
        <w:t>XXX《柴油机高原冷起动及加载测试方法》的</w:t>
      </w:r>
      <w:r>
        <w:rPr>
          <w:rFonts w:hint="eastAsia" w:cs="宋体"/>
          <w:szCs w:val="21"/>
        </w:rPr>
        <w:t>有关规定进行。</w:t>
      </w:r>
    </w:p>
    <w:p w14:paraId="2A1AE2F2">
      <w:pPr>
        <w:pStyle w:val="2"/>
        <w:rPr>
          <w:rFonts w:hint="eastAsia" w:cs="宋体"/>
          <w:szCs w:val="21"/>
        </w:rPr>
      </w:pPr>
      <w:r>
        <w:rPr>
          <w:rFonts w:hint="eastAsia" w:ascii="黑体" w:hAnsi="Calibri" w:eastAsia="黑体" w:cs="Times New Roman"/>
          <w:szCs w:val="21"/>
        </w:rPr>
        <w:t>5.6</w:t>
      </w:r>
      <w:r>
        <w:rPr>
          <w:rFonts w:hint="eastAsia"/>
        </w:rPr>
        <w:t>　</w:t>
      </w:r>
      <w:r>
        <w:rPr>
          <w:rFonts w:hint="eastAsia" w:cs="宋体"/>
          <w:szCs w:val="21"/>
        </w:rPr>
        <w:t>在高海拔环境下的机油消耗量试验、燃油消耗量试验、活塞漏气量试验和怠速稳定性试验按照GB/T 18297-2024有关规定进行。</w:t>
      </w:r>
    </w:p>
    <w:p w14:paraId="648137AD">
      <w:pPr>
        <w:rPr>
          <w:rFonts w:hint="eastAsia" w:cs="宋体"/>
          <w:szCs w:val="21"/>
        </w:rPr>
      </w:pPr>
      <w:r>
        <w:rPr>
          <w:rFonts w:hint="eastAsia" w:ascii="黑体" w:hAnsi="Calibri" w:eastAsia="黑体" w:cs="Times New Roman"/>
          <w:szCs w:val="21"/>
        </w:rPr>
        <w:t>5.7</w:t>
      </w:r>
      <w:r>
        <w:rPr>
          <w:rFonts w:hint="eastAsia"/>
        </w:rPr>
        <w:t>　</w:t>
      </w:r>
      <w:r>
        <w:rPr>
          <w:rFonts w:hint="eastAsia" w:cs="宋体"/>
          <w:szCs w:val="21"/>
        </w:rPr>
        <w:t>在高海拔环境下的重型车用柴油机排气污染物按照TCSICE 002-2023的有关规定进行测量。</w:t>
      </w:r>
    </w:p>
    <w:p w14:paraId="4C41D8EA">
      <w:pPr>
        <w:rPr>
          <w:rFonts w:hint="eastAsia" w:cs="宋体"/>
          <w:szCs w:val="21"/>
        </w:rPr>
      </w:pPr>
      <w:r>
        <w:rPr>
          <w:rFonts w:hint="eastAsia" w:ascii="黑体" w:hAnsi="Calibri" w:eastAsia="黑体" w:cs="Times New Roman"/>
          <w:szCs w:val="21"/>
        </w:rPr>
        <w:t>5.8</w:t>
      </w:r>
      <w:r>
        <w:rPr>
          <w:rFonts w:hint="eastAsia"/>
        </w:rPr>
        <w:t>　</w:t>
      </w:r>
      <w:r>
        <w:rPr>
          <w:rFonts w:hint="eastAsia" w:cs="宋体"/>
          <w:szCs w:val="21"/>
        </w:rPr>
        <w:t>在高海拔环境下的可靠性试验按照GB/T 19055-2024有关规定进行。</w:t>
      </w:r>
    </w:p>
    <w:p w14:paraId="3D08CA2B">
      <w:pPr>
        <w:pStyle w:val="39"/>
        <w:rPr>
          <w:rFonts w:hint="eastAsia"/>
        </w:rPr>
      </w:pPr>
      <w:bookmarkStart w:id="39" w:name="_Toc16928"/>
      <w:bookmarkStart w:id="40" w:name="_Toc4404"/>
      <w:r>
        <w:rPr>
          <w:rFonts w:hint="eastAsia"/>
        </w:rPr>
        <w:t>6　检验规则</w:t>
      </w:r>
      <w:bookmarkEnd w:id="39"/>
      <w:bookmarkEnd w:id="40"/>
    </w:p>
    <w:p w14:paraId="1540A2E6">
      <w:pPr>
        <w:pStyle w:val="38"/>
        <w:rPr>
          <w:rFonts w:hint="eastAsia"/>
        </w:rPr>
      </w:pPr>
      <w:bookmarkStart w:id="41" w:name="_Toc28004"/>
      <w:bookmarkStart w:id="42" w:name="_Toc26190"/>
      <w:r>
        <w:rPr>
          <w:rFonts w:hint="eastAsia"/>
        </w:rPr>
        <w:t>6.1　试验项目</w:t>
      </w:r>
      <w:bookmarkEnd w:id="41"/>
    </w:p>
    <w:p w14:paraId="6BB60BC6">
      <w:pPr>
        <w:pStyle w:val="25"/>
        <w:ind w:firstLine="420" w:firstLineChars="0"/>
        <w:rPr>
          <w:rFonts w:hint="eastAsia"/>
        </w:rPr>
      </w:pPr>
      <w:r>
        <w:rPr>
          <w:rFonts w:hint="eastAsia"/>
        </w:rPr>
        <w:t>重型车用柴油机不同类别试验项目按表4的要求执行。</w:t>
      </w:r>
    </w:p>
    <w:p w14:paraId="41EE89F0">
      <w:pPr>
        <w:pStyle w:val="45"/>
        <w:rPr>
          <w:rFonts w:hint="eastAsia"/>
        </w:rPr>
      </w:pPr>
      <w:r>
        <w:rPr>
          <w:rFonts w:hint="eastAsia"/>
        </w:rPr>
        <w:t>表4 试验和检查项目</w:t>
      </w:r>
    </w:p>
    <w:tbl>
      <w:tblPr>
        <w:tblStyle w:val="1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
        <w:gridCol w:w="2625"/>
        <w:gridCol w:w="1993"/>
        <w:gridCol w:w="1993"/>
        <w:gridCol w:w="1994"/>
      </w:tblGrid>
      <w:tr w14:paraId="27F9C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dxa"/>
            <w:vMerge w:val="restart"/>
            <w:vAlign w:val="center"/>
          </w:tcPr>
          <w:p w14:paraId="772EA250">
            <w:pPr>
              <w:pStyle w:val="25"/>
              <w:widowControl w:val="0"/>
              <w:ind w:firstLine="0" w:firstLineChars="0"/>
              <w:jc w:val="center"/>
              <w:rPr>
                <w:rFonts w:hint="eastAsia" w:cs="宋体"/>
                <w:sz w:val="18"/>
                <w:szCs w:val="18"/>
              </w:rPr>
            </w:pPr>
            <w:r>
              <w:rPr>
                <w:rFonts w:hint="eastAsia" w:cs="宋体"/>
                <w:sz w:val="18"/>
                <w:szCs w:val="18"/>
              </w:rPr>
              <w:t>序号</w:t>
            </w:r>
          </w:p>
        </w:tc>
        <w:tc>
          <w:tcPr>
            <w:tcW w:w="2625" w:type="dxa"/>
            <w:vMerge w:val="restart"/>
            <w:vAlign w:val="center"/>
          </w:tcPr>
          <w:p w14:paraId="5315C701">
            <w:pPr>
              <w:pStyle w:val="25"/>
              <w:widowControl w:val="0"/>
              <w:ind w:firstLine="0" w:firstLineChars="0"/>
              <w:jc w:val="center"/>
              <w:rPr>
                <w:rFonts w:hint="eastAsia" w:cs="宋体"/>
                <w:sz w:val="18"/>
                <w:szCs w:val="18"/>
              </w:rPr>
            </w:pPr>
            <w:r>
              <w:rPr>
                <w:rFonts w:hint="eastAsia" w:cs="宋体"/>
                <w:sz w:val="18"/>
                <w:szCs w:val="18"/>
              </w:rPr>
              <w:t>试验项目</w:t>
            </w:r>
          </w:p>
        </w:tc>
        <w:tc>
          <w:tcPr>
            <w:tcW w:w="5980" w:type="dxa"/>
            <w:gridSpan w:val="3"/>
          </w:tcPr>
          <w:p w14:paraId="05805998">
            <w:pPr>
              <w:pStyle w:val="25"/>
              <w:widowControl w:val="0"/>
              <w:ind w:firstLine="0" w:firstLineChars="0"/>
              <w:jc w:val="center"/>
              <w:rPr>
                <w:rFonts w:hint="eastAsia" w:cs="宋体"/>
                <w:sz w:val="18"/>
                <w:szCs w:val="18"/>
              </w:rPr>
            </w:pPr>
            <w:r>
              <w:rPr>
                <w:rFonts w:hint="eastAsia" w:cs="宋体"/>
                <w:sz w:val="18"/>
                <w:szCs w:val="18"/>
              </w:rPr>
              <w:t>试验类别</w:t>
            </w:r>
          </w:p>
        </w:tc>
      </w:tr>
      <w:tr w14:paraId="1E6D1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dxa"/>
            <w:vMerge w:val="continue"/>
          </w:tcPr>
          <w:p w14:paraId="33B067B6">
            <w:pPr>
              <w:pStyle w:val="25"/>
              <w:widowControl w:val="0"/>
              <w:ind w:firstLine="0" w:firstLineChars="0"/>
              <w:jc w:val="center"/>
              <w:rPr>
                <w:rFonts w:hint="eastAsia" w:cs="宋体"/>
                <w:sz w:val="18"/>
                <w:szCs w:val="18"/>
              </w:rPr>
            </w:pPr>
          </w:p>
        </w:tc>
        <w:tc>
          <w:tcPr>
            <w:tcW w:w="2625" w:type="dxa"/>
            <w:vMerge w:val="continue"/>
            <w:vAlign w:val="center"/>
          </w:tcPr>
          <w:p w14:paraId="11877A8D">
            <w:pPr>
              <w:pStyle w:val="25"/>
              <w:widowControl w:val="0"/>
              <w:ind w:firstLine="0" w:firstLineChars="0"/>
              <w:jc w:val="center"/>
              <w:rPr>
                <w:rFonts w:hint="eastAsia" w:cs="宋体"/>
                <w:sz w:val="18"/>
                <w:szCs w:val="18"/>
              </w:rPr>
            </w:pPr>
          </w:p>
        </w:tc>
        <w:tc>
          <w:tcPr>
            <w:tcW w:w="1993" w:type="dxa"/>
          </w:tcPr>
          <w:p w14:paraId="15752700">
            <w:pPr>
              <w:pStyle w:val="25"/>
              <w:widowControl w:val="0"/>
              <w:ind w:firstLine="0" w:firstLineChars="0"/>
              <w:jc w:val="center"/>
              <w:rPr>
                <w:rFonts w:hint="eastAsia" w:cs="宋体"/>
                <w:sz w:val="18"/>
                <w:szCs w:val="18"/>
              </w:rPr>
            </w:pPr>
            <w:r>
              <w:rPr>
                <w:rFonts w:hint="eastAsia" w:cs="宋体"/>
                <w:sz w:val="18"/>
                <w:szCs w:val="18"/>
              </w:rPr>
              <w:t>型式试验</w:t>
            </w:r>
          </w:p>
        </w:tc>
        <w:tc>
          <w:tcPr>
            <w:tcW w:w="1993" w:type="dxa"/>
          </w:tcPr>
          <w:p w14:paraId="4A65F22E">
            <w:pPr>
              <w:pStyle w:val="25"/>
              <w:widowControl w:val="0"/>
              <w:ind w:firstLine="0" w:firstLineChars="0"/>
              <w:jc w:val="center"/>
              <w:rPr>
                <w:rFonts w:hint="eastAsia" w:cs="宋体"/>
                <w:sz w:val="18"/>
                <w:szCs w:val="18"/>
              </w:rPr>
            </w:pPr>
            <w:r>
              <w:rPr>
                <w:rFonts w:hint="eastAsia" w:cs="宋体"/>
                <w:sz w:val="18"/>
                <w:szCs w:val="18"/>
              </w:rPr>
              <w:t>出厂检验</w:t>
            </w:r>
          </w:p>
        </w:tc>
        <w:tc>
          <w:tcPr>
            <w:tcW w:w="1994" w:type="dxa"/>
          </w:tcPr>
          <w:p w14:paraId="4408BDFB">
            <w:pPr>
              <w:pStyle w:val="25"/>
              <w:widowControl w:val="0"/>
              <w:ind w:firstLine="0" w:firstLineChars="0"/>
              <w:jc w:val="center"/>
              <w:rPr>
                <w:rFonts w:hint="eastAsia" w:cs="宋体"/>
                <w:sz w:val="18"/>
                <w:szCs w:val="18"/>
              </w:rPr>
            </w:pPr>
            <w:r>
              <w:rPr>
                <w:rFonts w:hint="eastAsia" w:cs="宋体"/>
                <w:sz w:val="18"/>
                <w:szCs w:val="18"/>
              </w:rPr>
              <w:t>质量抽查</w:t>
            </w:r>
          </w:p>
        </w:tc>
      </w:tr>
      <w:tr w14:paraId="51ACB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965" w:type="dxa"/>
          </w:tcPr>
          <w:p w14:paraId="59EE494F">
            <w:pPr>
              <w:pStyle w:val="25"/>
              <w:widowControl w:val="0"/>
              <w:ind w:firstLine="0" w:firstLineChars="0"/>
              <w:jc w:val="center"/>
              <w:rPr>
                <w:rFonts w:hint="eastAsia" w:cs="宋体"/>
                <w:sz w:val="18"/>
                <w:szCs w:val="18"/>
              </w:rPr>
            </w:pPr>
            <w:r>
              <w:rPr>
                <w:rFonts w:hint="eastAsia" w:cs="宋体"/>
                <w:sz w:val="18"/>
                <w:szCs w:val="18"/>
              </w:rPr>
              <w:t>1</w:t>
            </w:r>
          </w:p>
        </w:tc>
        <w:tc>
          <w:tcPr>
            <w:tcW w:w="2625" w:type="dxa"/>
          </w:tcPr>
          <w:p w14:paraId="257F4859">
            <w:pPr>
              <w:pStyle w:val="25"/>
              <w:widowControl w:val="0"/>
              <w:ind w:firstLine="0" w:firstLineChars="0"/>
              <w:jc w:val="center"/>
              <w:rPr>
                <w:rFonts w:hint="eastAsia" w:cs="宋体"/>
                <w:sz w:val="18"/>
                <w:szCs w:val="18"/>
              </w:rPr>
            </w:pPr>
            <w:r>
              <w:rPr>
                <w:rFonts w:hint="eastAsia" w:cs="宋体"/>
                <w:sz w:val="18"/>
                <w:szCs w:val="18"/>
              </w:rPr>
              <w:t>净功率试验</w:t>
            </w:r>
          </w:p>
        </w:tc>
        <w:tc>
          <w:tcPr>
            <w:tcW w:w="1993" w:type="dxa"/>
          </w:tcPr>
          <w:p w14:paraId="1F074059">
            <w:pPr>
              <w:pStyle w:val="25"/>
              <w:widowControl w:val="0"/>
              <w:ind w:firstLine="0" w:firstLineChars="0"/>
              <w:jc w:val="center"/>
              <w:rPr>
                <w:rFonts w:hint="eastAsia" w:cs="宋体"/>
                <w:sz w:val="18"/>
                <w:szCs w:val="18"/>
              </w:rPr>
            </w:pPr>
            <w:r>
              <w:rPr>
                <w:rFonts w:hint="eastAsia" w:cs="宋体"/>
                <w:sz w:val="18"/>
                <w:szCs w:val="18"/>
              </w:rPr>
              <w:t>√</w:t>
            </w:r>
          </w:p>
        </w:tc>
        <w:tc>
          <w:tcPr>
            <w:tcW w:w="1993" w:type="dxa"/>
          </w:tcPr>
          <w:p w14:paraId="743C4AC7">
            <w:pPr>
              <w:pStyle w:val="25"/>
              <w:widowControl w:val="0"/>
              <w:ind w:firstLine="0" w:firstLineChars="0"/>
              <w:jc w:val="center"/>
              <w:rPr>
                <w:rFonts w:hint="eastAsia" w:cs="宋体"/>
                <w:sz w:val="18"/>
                <w:szCs w:val="18"/>
              </w:rPr>
            </w:pPr>
            <w:r>
              <w:rPr>
                <w:rFonts w:hint="eastAsia" w:cs="宋体"/>
                <w:sz w:val="18"/>
                <w:szCs w:val="18"/>
              </w:rPr>
              <w:t>√</w:t>
            </w:r>
          </w:p>
        </w:tc>
        <w:tc>
          <w:tcPr>
            <w:tcW w:w="1994" w:type="dxa"/>
          </w:tcPr>
          <w:p w14:paraId="480DBA31">
            <w:pPr>
              <w:pStyle w:val="25"/>
              <w:widowControl w:val="0"/>
              <w:ind w:firstLine="0" w:firstLineChars="0"/>
              <w:jc w:val="center"/>
              <w:rPr>
                <w:rFonts w:hint="eastAsia" w:cs="宋体"/>
                <w:sz w:val="18"/>
                <w:szCs w:val="18"/>
              </w:rPr>
            </w:pPr>
            <w:r>
              <w:rPr>
                <w:rFonts w:hint="eastAsia" w:cs="宋体"/>
                <w:sz w:val="18"/>
                <w:szCs w:val="18"/>
              </w:rPr>
              <w:t>√</w:t>
            </w:r>
          </w:p>
        </w:tc>
      </w:tr>
      <w:tr w14:paraId="57FF4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dxa"/>
          </w:tcPr>
          <w:p w14:paraId="69845726">
            <w:pPr>
              <w:pStyle w:val="25"/>
              <w:widowControl w:val="0"/>
              <w:ind w:firstLine="0" w:firstLineChars="0"/>
              <w:jc w:val="center"/>
              <w:rPr>
                <w:rFonts w:hint="eastAsia" w:cs="宋体"/>
                <w:sz w:val="18"/>
                <w:szCs w:val="18"/>
              </w:rPr>
            </w:pPr>
            <w:r>
              <w:rPr>
                <w:rFonts w:hint="eastAsia" w:cs="宋体"/>
                <w:sz w:val="18"/>
                <w:szCs w:val="18"/>
              </w:rPr>
              <w:t>2</w:t>
            </w:r>
          </w:p>
        </w:tc>
        <w:tc>
          <w:tcPr>
            <w:tcW w:w="2625" w:type="dxa"/>
          </w:tcPr>
          <w:p w14:paraId="15103362">
            <w:pPr>
              <w:pStyle w:val="25"/>
              <w:widowControl w:val="0"/>
              <w:ind w:firstLine="0" w:firstLineChars="0"/>
              <w:jc w:val="center"/>
              <w:rPr>
                <w:rFonts w:hint="eastAsia" w:cs="宋体"/>
                <w:sz w:val="18"/>
                <w:szCs w:val="18"/>
              </w:rPr>
            </w:pPr>
            <w:r>
              <w:rPr>
                <w:rFonts w:hint="eastAsia" w:cs="宋体"/>
                <w:sz w:val="18"/>
                <w:szCs w:val="18"/>
              </w:rPr>
              <w:t>最低燃油消耗率试验</w:t>
            </w:r>
          </w:p>
        </w:tc>
        <w:tc>
          <w:tcPr>
            <w:tcW w:w="1993" w:type="dxa"/>
          </w:tcPr>
          <w:p w14:paraId="299003A1">
            <w:pPr>
              <w:pStyle w:val="25"/>
              <w:widowControl w:val="0"/>
              <w:ind w:firstLine="0" w:firstLineChars="0"/>
              <w:jc w:val="center"/>
              <w:rPr>
                <w:rFonts w:hint="eastAsia" w:cs="宋体"/>
                <w:sz w:val="18"/>
                <w:szCs w:val="18"/>
              </w:rPr>
            </w:pPr>
            <w:r>
              <w:rPr>
                <w:rFonts w:hint="eastAsia" w:cs="宋体"/>
                <w:sz w:val="18"/>
                <w:szCs w:val="18"/>
              </w:rPr>
              <w:t>√</w:t>
            </w:r>
          </w:p>
        </w:tc>
        <w:tc>
          <w:tcPr>
            <w:tcW w:w="1993" w:type="dxa"/>
          </w:tcPr>
          <w:p w14:paraId="14E806D7">
            <w:pPr>
              <w:pStyle w:val="25"/>
              <w:widowControl w:val="0"/>
              <w:ind w:firstLine="0" w:firstLineChars="0"/>
              <w:jc w:val="center"/>
              <w:rPr>
                <w:rFonts w:hint="eastAsia" w:cs="宋体"/>
                <w:sz w:val="18"/>
                <w:szCs w:val="18"/>
              </w:rPr>
            </w:pPr>
            <w:r>
              <w:rPr>
                <w:rFonts w:hint="eastAsia" w:cs="宋体"/>
                <w:sz w:val="18"/>
                <w:szCs w:val="18"/>
              </w:rPr>
              <w:t>▽</w:t>
            </w:r>
          </w:p>
        </w:tc>
        <w:tc>
          <w:tcPr>
            <w:tcW w:w="1994" w:type="dxa"/>
          </w:tcPr>
          <w:p w14:paraId="245B274C">
            <w:pPr>
              <w:pStyle w:val="25"/>
              <w:widowControl w:val="0"/>
              <w:ind w:firstLine="0" w:firstLineChars="0"/>
              <w:jc w:val="center"/>
              <w:rPr>
                <w:rFonts w:hint="eastAsia" w:cs="宋体"/>
                <w:sz w:val="18"/>
                <w:szCs w:val="18"/>
              </w:rPr>
            </w:pPr>
            <w:r>
              <w:rPr>
                <w:rFonts w:hint="eastAsia" w:cs="宋体"/>
                <w:sz w:val="18"/>
                <w:szCs w:val="18"/>
              </w:rPr>
              <w:t>√</w:t>
            </w:r>
          </w:p>
        </w:tc>
      </w:tr>
      <w:tr w14:paraId="454F2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dxa"/>
          </w:tcPr>
          <w:p w14:paraId="76BF55DA">
            <w:pPr>
              <w:pStyle w:val="25"/>
              <w:widowControl w:val="0"/>
              <w:ind w:firstLine="0" w:firstLineChars="0"/>
              <w:jc w:val="center"/>
              <w:rPr>
                <w:rFonts w:hint="eastAsia" w:cs="宋体"/>
                <w:sz w:val="18"/>
                <w:szCs w:val="18"/>
              </w:rPr>
            </w:pPr>
            <w:r>
              <w:rPr>
                <w:rFonts w:hint="eastAsia" w:cs="宋体"/>
                <w:sz w:val="18"/>
                <w:szCs w:val="18"/>
              </w:rPr>
              <w:t>3</w:t>
            </w:r>
          </w:p>
        </w:tc>
        <w:tc>
          <w:tcPr>
            <w:tcW w:w="2625" w:type="dxa"/>
          </w:tcPr>
          <w:p w14:paraId="254D789E">
            <w:pPr>
              <w:pStyle w:val="25"/>
              <w:widowControl w:val="0"/>
              <w:ind w:firstLine="0" w:firstLineChars="0"/>
              <w:jc w:val="center"/>
              <w:rPr>
                <w:rFonts w:hint="eastAsia" w:cs="宋体"/>
                <w:sz w:val="18"/>
                <w:szCs w:val="18"/>
              </w:rPr>
            </w:pPr>
            <w:r>
              <w:rPr>
                <w:rFonts w:hint="eastAsia" w:cs="宋体"/>
                <w:sz w:val="18"/>
                <w:szCs w:val="18"/>
              </w:rPr>
              <w:t>起动试验</w:t>
            </w:r>
          </w:p>
        </w:tc>
        <w:tc>
          <w:tcPr>
            <w:tcW w:w="1993" w:type="dxa"/>
          </w:tcPr>
          <w:p w14:paraId="281918F2">
            <w:pPr>
              <w:pStyle w:val="25"/>
              <w:widowControl w:val="0"/>
              <w:ind w:firstLine="0" w:firstLineChars="0"/>
              <w:jc w:val="center"/>
              <w:rPr>
                <w:rFonts w:hint="eastAsia" w:cs="宋体"/>
                <w:sz w:val="18"/>
                <w:szCs w:val="18"/>
              </w:rPr>
            </w:pPr>
            <w:r>
              <w:rPr>
                <w:rFonts w:hint="eastAsia" w:cs="宋体"/>
                <w:sz w:val="18"/>
                <w:szCs w:val="18"/>
              </w:rPr>
              <w:t>√</w:t>
            </w:r>
          </w:p>
        </w:tc>
        <w:tc>
          <w:tcPr>
            <w:tcW w:w="1993" w:type="dxa"/>
          </w:tcPr>
          <w:p w14:paraId="65DEC3B2">
            <w:pPr>
              <w:pStyle w:val="25"/>
              <w:widowControl w:val="0"/>
              <w:ind w:firstLine="0" w:firstLineChars="0"/>
              <w:jc w:val="center"/>
              <w:rPr>
                <w:rFonts w:hint="eastAsia" w:cs="宋体"/>
                <w:sz w:val="18"/>
                <w:szCs w:val="18"/>
              </w:rPr>
            </w:pPr>
            <w:r>
              <w:rPr>
                <w:rFonts w:hint="eastAsia" w:cs="宋体"/>
                <w:sz w:val="18"/>
                <w:szCs w:val="18"/>
              </w:rPr>
              <w:t>▽</w:t>
            </w:r>
          </w:p>
        </w:tc>
        <w:tc>
          <w:tcPr>
            <w:tcW w:w="1994" w:type="dxa"/>
          </w:tcPr>
          <w:p w14:paraId="2E065DF4">
            <w:pPr>
              <w:pStyle w:val="25"/>
              <w:widowControl w:val="0"/>
              <w:ind w:firstLine="0" w:firstLineChars="0"/>
              <w:jc w:val="center"/>
              <w:rPr>
                <w:rFonts w:hint="eastAsia" w:cs="宋体"/>
                <w:sz w:val="18"/>
                <w:szCs w:val="18"/>
              </w:rPr>
            </w:pPr>
            <w:r>
              <w:rPr>
                <w:rFonts w:hint="eastAsia" w:cs="宋体"/>
                <w:sz w:val="18"/>
                <w:szCs w:val="18"/>
              </w:rPr>
              <w:t>√</w:t>
            </w:r>
          </w:p>
        </w:tc>
      </w:tr>
      <w:tr w14:paraId="432EB5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dxa"/>
          </w:tcPr>
          <w:p w14:paraId="09C1AF82">
            <w:pPr>
              <w:pStyle w:val="25"/>
              <w:widowControl w:val="0"/>
              <w:ind w:firstLine="0" w:firstLineChars="0"/>
              <w:jc w:val="center"/>
              <w:rPr>
                <w:rFonts w:hint="eastAsia" w:cs="宋体"/>
                <w:sz w:val="18"/>
                <w:szCs w:val="18"/>
              </w:rPr>
            </w:pPr>
            <w:r>
              <w:rPr>
                <w:rFonts w:hint="eastAsia" w:cs="宋体"/>
                <w:sz w:val="18"/>
                <w:szCs w:val="18"/>
              </w:rPr>
              <w:t>4</w:t>
            </w:r>
          </w:p>
        </w:tc>
        <w:tc>
          <w:tcPr>
            <w:tcW w:w="2625" w:type="dxa"/>
          </w:tcPr>
          <w:p w14:paraId="6676B856">
            <w:pPr>
              <w:pStyle w:val="25"/>
              <w:widowControl w:val="0"/>
              <w:ind w:firstLine="0" w:firstLineChars="0"/>
              <w:jc w:val="center"/>
              <w:rPr>
                <w:rFonts w:hint="eastAsia" w:cs="宋体"/>
                <w:sz w:val="18"/>
                <w:szCs w:val="18"/>
              </w:rPr>
            </w:pPr>
            <w:r>
              <w:rPr>
                <w:rFonts w:hint="eastAsia" w:cs="宋体"/>
                <w:sz w:val="18"/>
                <w:szCs w:val="18"/>
              </w:rPr>
              <w:t>机油消耗量试验</w:t>
            </w:r>
          </w:p>
        </w:tc>
        <w:tc>
          <w:tcPr>
            <w:tcW w:w="1993" w:type="dxa"/>
          </w:tcPr>
          <w:p w14:paraId="738A983A">
            <w:pPr>
              <w:pStyle w:val="25"/>
              <w:widowControl w:val="0"/>
              <w:ind w:firstLine="0" w:firstLineChars="0"/>
              <w:jc w:val="center"/>
              <w:rPr>
                <w:rFonts w:hint="eastAsia" w:cs="宋体"/>
                <w:sz w:val="18"/>
                <w:szCs w:val="18"/>
              </w:rPr>
            </w:pPr>
            <w:r>
              <w:rPr>
                <w:rFonts w:hint="eastAsia" w:cs="宋体"/>
                <w:sz w:val="18"/>
                <w:szCs w:val="18"/>
              </w:rPr>
              <w:t>√</w:t>
            </w:r>
          </w:p>
        </w:tc>
        <w:tc>
          <w:tcPr>
            <w:tcW w:w="1993" w:type="dxa"/>
          </w:tcPr>
          <w:p w14:paraId="26FED2DF">
            <w:pPr>
              <w:pStyle w:val="25"/>
              <w:widowControl w:val="0"/>
              <w:ind w:firstLine="0" w:firstLineChars="0"/>
              <w:jc w:val="center"/>
              <w:rPr>
                <w:rFonts w:hint="eastAsia" w:cs="宋体"/>
                <w:sz w:val="18"/>
                <w:szCs w:val="18"/>
              </w:rPr>
            </w:pPr>
            <w:r>
              <w:rPr>
                <w:rFonts w:hint="eastAsia" w:cs="宋体"/>
                <w:sz w:val="18"/>
                <w:szCs w:val="18"/>
              </w:rPr>
              <w:t>▽</w:t>
            </w:r>
          </w:p>
        </w:tc>
        <w:tc>
          <w:tcPr>
            <w:tcW w:w="1994" w:type="dxa"/>
          </w:tcPr>
          <w:p w14:paraId="18EC7AC6">
            <w:pPr>
              <w:pStyle w:val="25"/>
              <w:widowControl w:val="0"/>
              <w:ind w:firstLine="0" w:firstLineChars="0"/>
              <w:jc w:val="center"/>
              <w:rPr>
                <w:rFonts w:hint="eastAsia" w:cs="宋体"/>
                <w:sz w:val="18"/>
                <w:szCs w:val="18"/>
              </w:rPr>
            </w:pPr>
            <w:r>
              <w:rPr>
                <w:rFonts w:hint="eastAsia" w:cs="宋体"/>
                <w:sz w:val="18"/>
                <w:szCs w:val="18"/>
              </w:rPr>
              <w:t>√</w:t>
            </w:r>
          </w:p>
        </w:tc>
      </w:tr>
      <w:tr w14:paraId="2809E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dxa"/>
          </w:tcPr>
          <w:p w14:paraId="71F6CD56">
            <w:pPr>
              <w:pStyle w:val="25"/>
              <w:widowControl w:val="0"/>
              <w:ind w:firstLine="0" w:firstLineChars="0"/>
              <w:jc w:val="center"/>
              <w:rPr>
                <w:rFonts w:hint="eastAsia" w:cs="宋体"/>
                <w:sz w:val="18"/>
                <w:szCs w:val="18"/>
              </w:rPr>
            </w:pPr>
            <w:r>
              <w:rPr>
                <w:rFonts w:hint="eastAsia" w:cs="宋体"/>
                <w:sz w:val="18"/>
                <w:szCs w:val="18"/>
              </w:rPr>
              <w:t>5</w:t>
            </w:r>
          </w:p>
        </w:tc>
        <w:tc>
          <w:tcPr>
            <w:tcW w:w="2625" w:type="dxa"/>
          </w:tcPr>
          <w:p w14:paraId="24305F85">
            <w:pPr>
              <w:pStyle w:val="25"/>
              <w:widowControl w:val="0"/>
              <w:ind w:firstLine="0" w:firstLineChars="0"/>
              <w:jc w:val="center"/>
              <w:rPr>
                <w:rFonts w:hint="eastAsia" w:cs="宋体"/>
                <w:sz w:val="18"/>
                <w:szCs w:val="18"/>
              </w:rPr>
            </w:pPr>
            <w:r>
              <w:rPr>
                <w:rFonts w:hint="eastAsia" w:cs="宋体"/>
                <w:sz w:val="18"/>
                <w:szCs w:val="18"/>
              </w:rPr>
              <w:t>燃油消耗量试验</w:t>
            </w:r>
          </w:p>
        </w:tc>
        <w:tc>
          <w:tcPr>
            <w:tcW w:w="1993" w:type="dxa"/>
          </w:tcPr>
          <w:p w14:paraId="6ECD2DC8">
            <w:pPr>
              <w:pStyle w:val="25"/>
              <w:widowControl w:val="0"/>
              <w:ind w:firstLine="0" w:firstLineChars="0"/>
              <w:jc w:val="center"/>
              <w:rPr>
                <w:rFonts w:hint="eastAsia" w:cs="宋体"/>
                <w:sz w:val="18"/>
                <w:szCs w:val="18"/>
              </w:rPr>
            </w:pPr>
            <w:r>
              <w:rPr>
                <w:rFonts w:hint="eastAsia" w:cs="宋体"/>
                <w:sz w:val="18"/>
                <w:szCs w:val="18"/>
              </w:rPr>
              <w:t>√</w:t>
            </w:r>
          </w:p>
        </w:tc>
        <w:tc>
          <w:tcPr>
            <w:tcW w:w="1993" w:type="dxa"/>
          </w:tcPr>
          <w:p w14:paraId="506241E6">
            <w:pPr>
              <w:pStyle w:val="25"/>
              <w:widowControl w:val="0"/>
              <w:ind w:firstLine="0" w:firstLineChars="0"/>
              <w:jc w:val="center"/>
              <w:rPr>
                <w:rFonts w:hint="eastAsia" w:cs="宋体"/>
                <w:sz w:val="18"/>
                <w:szCs w:val="18"/>
              </w:rPr>
            </w:pPr>
            <w:r>
              <w:rPr>
                <w:rFonts w:hint="eastAsia" w:cs="宋体"/>
                <w:sz w:val="18"/>
                <w:szCs w:val="18"/>
              </w:rPr>
              <w:t>▽</w:t>
            </w:r>
          </w:p>
        </w:tc>
        <w:tc>
          <w:tcPr>
            <w:tcW w:w="1994" w:type="dxa"/>
          </w:tcPr>
          <w:p w14:paraId="6486F24A">
            <w:pPr>
              <w:pStyle w:val="25"/>
              <w:widowControl w:val="0"/>
              <w:ind w:firstLine="0" w:firstLineChars="0"/>
              <w:jc w:val="center"/>
              <w:rPr>
                <w:rFonts w:hint="eastAsia" w:cs="宋体"/>
                <w:sz w:val="18"/>
                <w:szCs w:val="18"/>
              </w:rPr>
            </w:pPr>
            <w:r>
              <w:rPr>
                <w:rFonts w:hint="eastAsia" w:cs="宋体"/>
                <w:sz w:val="18"/>
                <w:szCs w:val="18"/>
              </w:rPr>
              <w:t>√</w:t>
            </w:r>
          </w:p>
        </w:tc>
      </w:tr>
      <w:tr w14:paraId="5B420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dxa"/>
          </w:tcPr>
          <w:p w14:paraId="1E6ECD7E">
            <w:pPr>
              <w:pStyle w:val="25"/>
              <w:widowControl w:val="0"/>
              <w:ind w:firstLine="0" w:firstLineChars="0"/>
              <w:jc w:val="center"/>
              <w:rPr>
                <w:rFonts w:hint="eastAsia" w:cs="宋体"/>
                <w:sz w:val="18"/>
                <w:szCs w:val="18"/>
              </w:rPr>
            </w:pPr>
            <w:r>
              <w:rPr>
                <w:rFonts w:hint="eastAsia" w:cs="宋体"/>
                <w:sz w:val="18"/>
                <w:szCs w:val="18"/>
              </w:rPr>
              <w:t>6</w:t>
            </w:r>
          </w:p>
        </w:tc>
        <w:tc>
          <w:tcPr>
            <w:tcW w:w="2625" w:type="dxa"/>
          </w:tcPr>
          <w:p w14:paraId="1BCE161F">
            <w:pPr>
              <w:pStyle w:val="25"/>
              <w:widowControl w:val="0"/>
              <w:ind w:firstLine="0" w:firstLineChars="0"/>
              <w:jc w:val="center"/>
              <w:rPr>
                <w:rFonts w:hint="eastAsia" w:cs="宋体"/>
                <w:sz w:val="18"/>
                <w:szCs w:val="18"/>
              </w:rPr>
            </w:pPr>
            <w:r>
              <w:rPr>
                <w:rFonts w:hint="eastAsia" w:cs="宋体"/>
                <w:sz w:val="18"/>
                <w:szCs w:val="18"/>
              </w:rPr>
              <w:t>活塞漏气量试验</w:t>
            </w:r>
          </w:p>
        </w:tc>
        <w:tc>
          <w:tcPr>
            <w:tcW w:w="1993" w:type="dxa"/>
          </w:tcPr>
          <w:p w14:paraId="4C335158">
            <w:pPr>
              <w:pStyle w:val="25"/>
              <w:widowControl w:val="0"/>
              <w:ind w:firstLine="0" w:firstLineChars="0"/>
              <w:jc w:val="center"/>
              <w:rPr>
                <w:rFonts w:hint="eastAsia" w:cs="宋体"/>
                <w:sz w:val="18"/>
                <w:szCs w:val="18"/>
              </w:rPr>
            </w:pPr>
            <w:r>
              <w:rPr>
                <w:rFonts w:hint="eastAsia" w:cs="宋体"/>
                <w:sz w:val="18"/>
                <w:szCs w:val="18"/>
              </w:rPr>
              <w:t>√</w:t>
            </w:r>
          </w:p>
        </w:tc>
        <w:tc>
          <w:tcPr>
            <w:tcW w:w="1993" w:type="dxa"/>
          </w:tcPr>
          <w:p w14:paraId="67C46BA4">
            <w:pPr>
              <w:pStyle w:val="25"/>
              <w:widowControl w:val="0"/>
              <w:ind w:firstLine="0" w:firstLineChars="0"/>
              <w:jc w:val="center"/>
              <w:rPr>
                <w:rFonts w:hint="eastAsia" w:cs="宋体"/>
                <w:sz w:val="18"/>
                <w:szCs w:val="18"/>
              </w:rPr>
            </w:pPr>
            <w:r>
              <w:rPr>
                <w:rFonts w:hint="eastAsia" w:cs="宋体"/>
                <w:sz w:val="18"/>
                <w:szCs w:val="18"/>
              </w:rPr>
              <w:t>▽</w:t>
            </w:r>
          </w:p>
        </w:tc>
        <w:tc>
          <w:tcPr>
            <w:tcW w:w="1994" w:type="dxa"/>
          </w:tcPr>
          <w:p w14:paraId="75626823">
            <w:pPr>
              <w:pStyle w:val="25"/>
              <w:widowControl w:val="0"/>
              <w:ind w:firstLine="0" w:firstLineChars="0"/>
              <w:jc w:val="center"/>
              <w:rPr>
                <w:rFonts w:hint="eastAsia" w:cs="宋体"/>
                <w:sz w:val="18"/>
                <w:szCs w:val="18"/>
              </w:rPr>
            </w:pPr>
            <w:r>
              <w:rPr>
                <w:rFonts w:hint="eastAsia" w:cs="宋体"/>
                <w:sz w:val="18"/>
                <w:szCs w:val="18"/>
              </w:rPr>
              <w:t>√</w:t>
            </w:r>
          </w:p>
        </w:tc>
      </w:tr>
      <w:tr w14:paraId="25BD6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dxa"/>
          </w:tcPr>
          <w:p w14:paraId="0F07976F">
            <w:pPr>
              <w:pStyle w:val="25"/>
              <w:widowControl w:val="0"/>
              <w:ind w:firstLine="0" w:firstLineChars="0"/>
              <w:jc w:val="center"/>
              <w:rPr>
                <w:rFonts w:hint="eastAsia" w:cs="宋体"/>
                <w:sz w:val="18"/>
                <w:szCs w:val="18"/>
              </w:rPr>
            </w:pPr>
            <w:r>
              <w:rPr>
                <w:rFonts w:hint="eastAsia" w:cs="宋体"/>
                <w:sz w:val="18"/>
                <w:szCs w:val="18"/>
              </w:rPr>
              <w:t>7</w:t>
            </w:r>
          </w:p>
        </w:tc>
        <w:tc>
          <w:tcPr>
            <w:tcW w:w="2625" w:type="dxa"/>
          </w:tcPr>
          <w:p w14:paraId="31493CB7">
            <w:pPr>
              <w:pStyle w:val="25"/>
              <w:widowControl w:val="0"/>
              <w:ind w:firstLine="0" w:firstLineChars="0"/>
              <w:jc w:val="center"/>
              <w:rPr>
                <w:rFonts w:hint="eastAsia" w:cs="宋体"/>
                <w:sz w:val="18"/>
                <w:szCs w:val="18"/>
              </w:rPr>
            </w:pPr>
            <w:r>
              <w:rPr>
                <w:rFonts w:hint="eastAsia" w:cs="宋体"/>
                <w:sz w:val="18"/>
                <w:szCs w:val="18"/>
              </w:rPr>
              <w:t>怠速稳定性试验</w:t>
            </w:r>
          </w:p>
        </w:tc>
        <w:tc>
          <w:tcPr>
            <w:tcW w:w="1993" w:type="dxa"/>
          </w:tcPr>
          <w:p w14:paraId="61AB0594">
            <w:pPr>
              <w:pStyle w:val="25"/>
              <w:widowControl w:val="0"/>
              <w:ind w:firstLine="0" w:firstLineChars="0"/>
              <w:jc w:val="center"/>
              <w:rPr>
                <w:rFonts w:hint="eastAsia" w:cs="宋体"/>
                <w:sz w:val="18"/>
                <w:szCs w:val="18"/>
              </w:rPr>
            </w:pPr>
            <w:r>
              <w:rPr>
                <w:rFonts w:hint="eastAsia" w:cs="宋体"/>
                <w:sz w:val="18"/>
                <w:szCs w:val="18"/>
              </w:rPr>
              <w:t>√</w:t>
            </w:r>
          </w:p>
        </w:tc>
        <w:tc>
          <w:tcPr>
            <w:tcW w:w="1993" w:type="dxa"/>
          </w:tcPr>
          <w:p w14:paraId="7901FB71">
            <w:pPr>
              <w:pStyle w:val="25"/>
              <w:widowControl w:val="0"/>
              <w:ind w:firstLine="0" w:firstLineChars="0"/>
              <w:jc w:val="center"/>
              <w:rPr>
                <w:rFonts w:hint="eastAsia" w:cs="宋体"/>
                <w:sz w:val="18"/>
                <w:szCs w:val="18"/>
              </w:rPr>
            </w:pPr>
            <w:r>
              <w:rPr>
                <w:rFonts w:hint="eastAsia" w:cs="宋体"/>
                <w:sz w:val="18"/>
                <w:szCs w:val="18"/>
              </w:rPr>
              <w:t>▽</w:t>
            </w:r>
          </w:p>
        </w:tc>
        <w:tc>
          <w:tcPr>
            <w:tcW w:w="1994" w:type="dxa"/>
          </w:tcPr>
          <w:p w14:paraId="5C1827D8">
            <w:pPr>
              <w:pStyle w:val="25"/>
              <w:widowControl w:val="0"/>
              <w:ind w:firstLine="0" w:firstLineChars="0"/>
              <w:jc w:val="center"/>
              <w:rPr>
                <w:rFonts w:hint="eastAsia" w:cs="宋体"/>
                <w:sz w:val="18"/>
                <w:szCs w:val="18"/>
              </w:rPr>
            </w:pPr>
            <w:r>
              <w:rPr>
                <w:rFonts w:hint="eastAsia" w:cs="宋体"/>
                <w:sz w:val="18"/>
                <w:szCs w:val="18"/>
              </w:rPr>
              <w:t>√</w:t>
            </w:r>
          </w:p>
        </w:tc>
      </w:tr>
      <w:tr w14:paraId="68F8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dxa"/>
          </w:tcPr>
          <w:p w14:paraId="6DD11CC8">
            <w:pPr>
              <w:pStyle w:val="25"/>
              <w:widowControl w:val="0"/>
              <w:ind w:firstLine="0" w:firstLineChars="0"/>
              <w:jc w:val="center"/>
              <w:rPr>
                <w:rFonts w:hint="eastAsia" w:cs="宋体"/>
                <w:sz w:val="18"/>
                <w:szCs w:val="18"/>
              </w:rPr>
            </w:pPr>
            <w:r>
              <w:rPr>
                <w:rFonts w:hint="eastAsia" w:cs="宋体"/>
                <w:sz w:val="18"/>
                <w:szCs w:val="18"/>
              </w:rPr>
              <w:t>8</w:t>
            </w:r>
          </w:p>
        </w:tc>
        <w:tc>
          <w:tcPr>
            <w:tcW w:w="2625" w:type="dxa"/>
          </w:tcPr>
          <w:p w14:paraId="0A4A1EB8">
            <w:pPr>
              <w:pStyle w:val="25"/>
              <w:widowControl w:val="0"/>
              <w:ind w:firstLine="0" w:firstLineChars="0"/>
              <w:jc w:val="center"/>
              <w:rPr>
                <w:rFonts w:hint="eastAsia" w:cs="宋体"/>
                <w:sz w:val="18"/>
                <w:szCs w:val="18"/>
              </w:rPr>
            </w:pPr>
            <w:r>
              <w:rPr>
                <w:rFonts w:hint="eastAsia" w:cs="宋体"/>
                <w:sz w:val="18"/>
                <w:szCs w:val="18"/>
              </w:rPr>
              <w:t>排气污染物试验</w:t>
            </w:r>
          </w:p>
        </w:tc>
        <w:tc>
          <w:tcPr>
            <w:tcW w:w="1993" w:type="dxa"/>
          </w:tcPr>
          <w:p w14:paraId="58892846">
            <w:pPr>
              <w:pStyle w:val="25"/>
              <w:widowControl w:val="0"/>
              <w:ind w:firstLine="0" w:firstLineChars="0"/>
              <w:jc w:val="center"/>
              <w:rPr>
                <w:rFonts w:hint="eastAsia" w:cs="宋体"/>
                <w:sz w:val="18"/>
                <w:szCs w:val="18"/>
              </w:rPr>
            </w:pPr>
            <w:r>
              <w:rPr>
                <w:rFonts w:hint="eastAsia" w:cs="宋体"/>
                <w:sz w:val="18"/>
                <w:szCs w:val="18"/>
              </w:rPr>
              <w:t>▽</w:t>
            </w:r>
          </w:p>
        </w:tc>
        <w:tc>
          <w:tcPr>
            <w:tcW w:w="1993" w:type="dxa"/>
          </w:tcPr>
          <w:p w14:paraId="20DADE72">
            <w:pPr>
              <w:pStyle w:val="25"/>
              <w:widowControl w:val="0"/>
              <w:ind w:firstLine="0" w:firstLineChars="0"/>
              <w:jc w:val="center"/>
              <w:rPr>
                <w:rFonts w:hint="eastAsia" w:cs="宋体"/>
                <w:sz w:val="18"/>
                <w:szCs w:val="18"/>
              </w:rPr>
            </w:pPr>
            <w:r>
              <w:rPr>
                <w:rFonts w:hint="eastAsia" w:cs="宋体"/>
                <w:sz w:val="18"/>
                <w:szCs w:val="18"/>
              </w:rPr>
              <w:t>▽</w:t>
            </w:r>
          </w:p>
        </w:tc>
        <w:tc>
          <w:tcPr>
            <w:tcW w:w="1994" w:type="dxa"/>
          </w:tcPr>
          <w:p w14:paraId="07948D2A">
            <w:pPr>
              <w:pStyle w:val="25"/>
              <w:widowControl w:val="0"/>
              <w:ind w:firstLine="0" w:firstLineChars="0"/>
              <w:jc w:val="center"/>
              <w:rPr>
                <w:rFonts w:hint="eastAsia" w:cs="宋体"/>
                <w:sz w:val="18"/>
                <w:szCs w:val="18"/>
              </w:rPr>
            </w:pPr>
            <w:r>
              <w:rPr>
                <w:rFonts w:hint="eastAsia" w:cs="宋体"/>
                <w:sz w:val="18"/>
                <w:szCs w:val="18"/>
              </w:rPr>
              <w:t>▽</w:t>
            </w:r>
          </w:p>
        </w:tc>
      </w:tr>
      <w:tr w14:paraId="32128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 w:type="dxa"/>
          </w:tcPr>
          <w:p w14:paraId="16790DB8">
            <w:pPr>
              <w:pStyle w:val="25"/>
              <w:widowControl w:val="0"/>
              <w:ind w:firstLine="0" w:firstLineChars="0"/>
              <w:jc w:val="center"/>
              <w:rPr>
                <w:rFonts w:hint="eastAsia" w:cs="宋体"/>
                <w:sz w:val="18"/>
                <w:szCs w:val="18"/>
              </w:rPr>
            </w:pPr>
            <w:r>
              <w:rPr>
                <w:rFonts w:hint="eastAsia" w:cs="宋体"/>
                <w:sz w:val="18"/>
                <w:szCs w:val="18"/>
              </w:rPr>
              <w:t>9</w:t>
            </w:r>
          </w:p>
        </w:tc>
        <w:tc>
          <w:tcPr>
            <w:tcW w:w="2625" w:type="dxa"/>
          </w:tcPr>
          <w:p w14:paraId="3D1017F9">
            <w:pPr>
              <w:pStyle w:val="25"/>
              <w:widowControl w:val="0"/>
              <w:ind w:firstLine="0" w:firstLineChars="0"/>
              <w:jc w:val="center"/>
              <w:rPr>
                <w:rFonts w:hint="eastAsia" w:cs="宋体"/>
                <w:sz w:val="18"/>
                <w:szCs w:val="18"/>
              </w:rPr>
            </w:pPr>
            <w:r>
              <w:rPr>
                <w:rFonts w:hint="eastAsia" w:cs="宋体"/>
                <w:sz w:val="18"/>
                <w:szCs w:val="18"/>
              </w:rPr>
              <w:t>可靠性试验</w:t>
            </w:r>
          </w:p>
        </w:tc>
        <w:tc>
          <w:tcPr>
            <w:tcW w:w="1993" w:type="dxa"/>
          </w:tcPr>
          <w:p w14:paraId="2D7473EA">
            <w:pPr>
              <w:pStyle w:val="25"/>
              <w:widowControl w:val="0"/>
              <w:ind w:firstLine="0" w:firstLineChars="0"/>
              <w:jc w:val="center"/>
              <w:rPr>
                <w:rFonts w:hint="eastAsia" w:cs="宋体"/>
                <w:sz w:val="18"/>
                <w:szCs w:val="18"/>
              </w:rPr>
            </w:pPr>
            <w:r>
              <w:rPr>
                <w:rFonts w:hint="eastAsia" w:cs="宋体"/>
                <w:sz w:val="18"/>
                <w:szCs w:val="18"/>
              </w:rPr>
              <w:t>√</w:t>
            </w:r>
          </w:p>
        </w:tc>
        <w:tc>
          <w:tcPr>
            <w:tcW w:w="1993" w:type="dxa"/>
          </w:tcPr>
          <w:p w14:paraId="678FA448">
            <w:pPr>
              <w:pStyle w:val="25"/>
              <w:widowControl w:val="0"/>
              <w:ind w:firstLine="0" w:firstLineChars="0"/>
              <w:jc w:val="center"/>
              <w:rPr>
                <w:rFonts w:hint="eastAsia" w:cs="宋体"/>
                <w:sz w:val="18"/>
                <w:szCs w:val="18"/>
              </w:rPr>
            </w:pPr>
            <w:r>
              <w:rPr>
                <w:rFonts w:hint="eastAsia" w:cs="宋体"/>
                <w:sz w:val="18"/>
                <w:szCs w:val="18"/>
              </w:rPr>
              <w:t>▽</w:t>
            </w:r>
          </w:p>
        </w:tc>
        <w:tc>
          <w:tcPr>
            <w:tcW w:w="1994" w:type="dxa"/>
          </w:tcPr>
          <w:p w14:paraId="0C9E5AEA">
            <w:pPr>
              <w:pStyle w:val="25"/>
              <w:widowControl w:val="0"/>
              <w:ind w:firstLine="0" w:firstLineChars="0"/>
              <w:jc w:val="center"/>
              <w:rPr>
                <w:rFonts w:hint="eastAsia" w:cs="宋体"/>
                <w:sz w:val="18"/>
                <w:szCs w:val="18"/>
              </w:rPr>
            </w:pPr>
            <w:r>
              <w:rPr>
                <w:rFonts w:hint="eastAsia" w:cs="宋体"/>
                <w:sz w:val="18"/>
                <w:szCs w:val="18"/>
              </w:rPr>
              <w:t>▽</w:t>
            </w:r>
          </w:p>
        </w:tc>
      </w:tr>
      <w:tr w14:paraId="4D1A8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70" w:type="dxa"/>
            <w:gridSpan w:val="5"/>
          </w:tcPr>
          <w:p w14:paraId="0BD38824">
            <w:pPr>
              <w:pStyle w:val="25"/>
              <w:widowControl w:val="0"/>
              <w:ind w:firstLine="360"/>
              <w:rPr>
                <w:rFonts w:hint="eastAsia" w:cs="宋体"/>
                <w:sz w:val="18"/>
                <w:szCs w:val="18"/>
              </w:rPr>
            </w:pPr>
            <w:r>
              <w:rPr>
                <w:rFonts w:hint="eastAsia" w:cs="宋体"/>
                <w:sz w:val="18"/>
                <w:szCs w:val="18"/>
              </w:rPr>
              <w:t>注：“√”为需要进行试验和检查的项目，“▽”为按需要选定的项目。</w:t>
            </w:r>
          </w:p>
        </w:tc>
      </w:tr>
    </w:tbl>
    <w:p w14:paraId="0E2FA8D6">
      <w:pPr>
        <w:pStyle w:val="38"/>
        <w:rPr>
          <w:rFonts w:hint="eastAsia"/>
        </w:rPr>
      </w:pPr>
      <w:bookmarkStart w:id="43" w:name="_Toc27576"/>
      <w:r>
        <w:rPr>
          <w:rFonts w:hint="eastAsia"/>
        </w:rPr>
        <w:t>6.2　型式试验</w:t>
      </w:r>
      <w:bookmarkEnd w:id="42"/>
      <w:bookmarkEnd w:id="43"/>
    </w:p>
    <w:p w14:paraId="556CDA7B">
      <w:pPr>
        <w:pStyle w:val="25"/>
        <w:ind w:firstLine="0" w:firstLineChars="0"/>
        <w:rPr>
          <w:rFonts w:hint="eastAsia"/>
        </w:rPr>
      </w:pPr>
      <w:r>
        <w:rPr>
          <w:rFonts w:hint="eastAsia" w:ascii="黑体" w:hAnsi="黑体" w:eastAsia="黑体"/>
        </w:rPr>
        <w:t>6.2.1</w:t>
      </w:r>
      <w:r>
        <w:rPr>
          <w:rFonts w:hint="eastAsia"/>
        </w:rPr>
        <w:t>　下列情况之一时应进行型式试验：</w:t>
      </w:r>
    </w:p>
    <w:p w14:paraId="4C067820">
      <w:pPr>
        <w:pStyle w:val="2"/>
        <w:numPr>
          <w:ilvl w:val="0"/>
          <w:numId w:val="3"/>
        </w:numPr>
        <w:ind w:left="420" w:firstLine="0"/>
        <w:rPr>
          <w:rFonts w:hint="eastAsia" w:cs="宋体"/>
          <w:szCs w:val="21"/>
        </w:rPr>
      </w:pPr>
      <w:r>
        <w:rPr>
          <w:rFonts w:hint="eastAsia" w:cs="宋体"/>
          <w:szCs w:val="21"/>
        </w:rPr>
        <w:t>新产品试制定型鉴定时；</w:t>
      </w:r>
    </w:p>
    <w:p w14:paraId="2F3B3C7E">
      <w:pPr>
        <w:pStyle w:val="2"/>
        <w:numPr>
          <w:ilvl w:val="0"/>
          <w:numId w:val="3"/>
        </w:numPr>
        <w:ind w:left="420" w:firstLine="0"/>
        <w:rPr>
          <w:rFonts w:hint="eastAsia" w:cs="宋体"/>
          <w:szCs w:val="21"/>
        </w:rPr>
      </w:pPr>
      <w:r>
        <w:rPr>
          <w:rFonts w:hint="eastAsia" w:cs="宋体"/>
          <w:szCs w:val="21"/>
        </w:rPr>
        <w:t>正式生产后，如结构、材料、工艺等有较大改变，且可能影响产品性能时；</w:t>
      </w:r>
    </w:p>
    <w:p w14:paraId="0E8C7196">
      <w:pPr>
        <w:pStyle w:val="2"/>
        <w:numPr>
          <w:ilvl w:val="0"/>
          <w:numId w:val="3"/>
        </w:numPr>
        <w:ind w:left="420" w:firstLine="0"/>
        <w:rPr>
          <w:rFonts w:hint="eastAsia" w:cs="宋体"/>
          <w:szCs w:val="21"/>
        </w:rPr>
      </w:pPr>
      <w:r>
        <w:rPr>
          <w:rFonts w:hint="eastAsia" w:cs="宋体"/>
          <w:szCs w:val="21"/>
        </w:rPr>
        <w:t>产品停产1年以上，恢复生产时；</w:t>
      </w:r>
    </w:p>
    <w:p w14:paraId="3CEE49BB">
      <w:pPr>
        <w:pStyle w:val="2"/>
        <w:numPr>
          <w:ilvl w:val="0"/>
          <w:numId w:val="3"/>
        </w:numPr>
        <w:ind w:left="420" w:firstLine="0"/>
        <w:rPr>
          <w:rFonts w:hint="eastAsia" w:cs="宋体"/>
          <w:szCs w:val="21"/>
        </w:rPr>
      </w:pPr>
      <w:r>
        <w:rPr>
          <w:rFonts w:hint="eastAsia" w:cs="宋体"/>
          <w:szCs w:val="21"/>
        </w:rPr>
        <w:t>出厂检验结果与上一次型式检验的记过有较大差异时；</w:t>
      </w:r>
    </w:p>
    <w:p w14:paraId="1C8F544A">
      <w:pPr>
        <w:pStyle w:val="2"/>
        <w:numPr>
          <w:ilvl w:val="0"/>
          <w:numId w:val="3"/>
        </w:numPr>
        <w:ind w:left="420" w:firstLine="0"/>
        <w:rPr>
          <w:rFonts w:hint="eastAsia" w:cs="宋体"/>
          <w:szCs w:val="21"/>
        </w:rPr>
      </w:pPr>
      <w:r>
        <w:rPr>
          <w:rFonts w:hint="eastAsia" w:cs="宋体"/>
          <w:szCs w:val="21"/>
        </w:rPr>
        <w:t>当合同提出要求时；</w:t>
      </w:r>
    </w:p>
    <w:p w14:paraId="41A16E0E">
      <w:pPr>
        <w:pStyle w:val="2"/>
        <w:numPr>
          <w:ilvl w:val="0"/>
          <w:numId w:val="3"/>
        </w:numPr>
        <w:ind w:left="420" w:firstLine="0"/>
        <w:rPr>
          <w:rFonts w:hint="eastAsia" w:cs="宋体"/>
          <w:szCs w:val="21"/>
        </w:rPr>
      </w:pPr>
      <w:r>
        <w:rPr>
          <w:rFonts w:hint="eastAsia" w:cs="宋体"/>
          <w:szCs w:val="21"/>
        </w:rPr>
        <w:t>上级主管部门提出型式检验要求时。</w:t>
      </w:r>
    </w:p>
    <w:p w14:paraId="6907DA63">
      <w:pPr>
        <w:pStyle w:val="25"/>
        <w:ind w:firstLine="0" w:firstLineChars="0"/>
        <w:rPr>
          <w:rFonts w:hint="eastAsia"/>
        </w:rPr>
      </w:pPr>
      <w:r>
        <w:rPr>
          <w:rFonts w:hint="eastAsia" w:ascii="黑体" w:hAnsi="黑体" w:eastAsia="黑体"/>
        </w:rPr>
        <w:t>6.2.2</w:t>
      </w:r>
      <w:r>
        <w:rPr>
          <w:rFonts w:hint="eastAsia"/>
        </w:rPr>
        <w:t>　型式检验项目按第5章的要求进行，不同检验项目的检验顺序可由制造商和检测机构协商决定。</w:t>
      </w:r>
    </w:p>
    <w:p w14:paraId="6D51F6DB">
      <w:pPr>
        <w:pStyle w:val="2"/>
        <w:rPr>
          <w:rFonts w:hint="eastAsia" w:cs="宋体"/>
          <w:szCs w:val="21"/>
        </w:rPr>
      </w:pPr>
      <w:r>
        <w:rPr>
          <w:rFonts w:hint="eastAsia" w:ascii="黑体" w:hAnsi="黑体" w:eastAsia="黑体"/>
        </w:rPr>
        <w:t>6.2.3</w:t>
      </w:r>
      <w:r>
        <w:rPr>
          <w:rFonts w:hint="eastAsia"/>
        </w:rPr>
        <w:t>　重型车用柴油机燃料应符合制造厂的要求。</w:t>
      </w:r>
    </w:p>
    <w:p w14:paraId="7C78292A">
      <w:pPr>
        <w:pStyle w:val="38"/>
        <w:rPr>
          <w:rFonts w:hint="eastAsia"/>
        </w:rPr>
      </w:pPr>
      <w:bookmarkStart w:id="44" w:name="_Toc32326"/>
      <w:bookmarkStart w:id="45" w:name="_Toc17091"/>
      <w:r>
        <w:rPr>
          <w:rFonts w:hint="eastAsia"/>
        </w:rPr>
        <w:t>6.3　出厂检验</w:t>
      </w:r>
      <w:bookmarkEnd w:id="44"/>
      <w:bookmarkEnd w:id="45"/>
    </w:p>
    <w:p w14:paraId="28D028F8">
      <w:pPr>
        <w:pStyle w:val="25"/>
        <w:ind w:firstLine="0" w:firstLineChars="0"/>
        <w:rPr>
          <w:rFonts w:hint="eastAsia"/>
        </w:rPr>
      </w:pPr>
      <w:r>
        <w:rPr>
          <w:rFonts w:hint="eastAsia" w:ascii="黑体" w:hAnsi="黑体" w:eastAsia="黑体"/>
        </w:rPr>
        <w:t>6.3.1</w:t>
      </w:r>
      <w:r>
        <w:rPr>
          <w:rFonts w:hint="eastAsia"/>
        </w:rPr>
        <w:t>　柴油机经过出厂检验合格并由制造厂签发产品质量合格证后，方能出厂（或入库）；</w:t>
      </w:r>
    </w:p>
    <w:p w14:paraId="54C07D8C">
      <w:pPr>
        <w:pStyle w:val="25"/>
        <w:ind w:firstLine="0" w:firstLineChars="0"/>
        <w:rPr>
          <w:rFonts w:hint="eastAsia"/>
        </w:rPr>
      </w:pPr>
      <w:r>
        <w:rPr>
          <w:rFonts w:hint="eastAsia" w:ascii="黑体" w:hAnsi="黑体" w:eastAsia="黑体"/>
        </w:rPr>
        <w:t>6.3.2</w:t>
      </w:r>
      <w:r>
        <w:rPr>
          <w:rFonts w:hint="eastAsia"/>
        </w:rPr>
        <w:t>　</w:t>
      </w:r>
      <w:r>
        <w:rPr>
          <w:rFonts w:hint="eastAsia"/>
          <w:szCs w:val="21"/>
        </w:rPr>
        <w:t>检验项目至少包括以下内容：</w:t>
      </w:r>
    </w:p>
    <w:p w14:paraId="779D3A53">
      <w:pPr>
        <w:pStyle w:val="2"/>
        <w:numPr>
          <w:ilvl w:val="0"/>
          <w:numId w:val="4"/>
        </w:numPr>
        <w:ind w:left="420" w:firstLine="0"/>
        <w:rPr>
          <w:rFonts w:hint="eastAsia" w:cs="宋体"/>
          <w:szCs w:val="21"/>
        </w:rPr>
      </w:pPr>
      <w:r>
        <w:rPr>
          <w:rFonts w:hint="eastAsia" w:cs="宋体"/>
          <w:szCs w:val="21"/>
        </w:rPr>
        <w:t>外观检查（装配完整性、装配质量）；</w:t>
      </w:r>
    </w:p>
    <w:p w14:paraId="65D37384">
      <w:pPr>
        <w:pStyle w:val="2"/>
        <w:numPr>
          <w:ilvl w:val="0"/>
          <w:numId w:val="4"/>
        </w:numPr>
        <w:ind w:left="420" w:firstLine="0"/>
        <w:rPr>
          <w:rFonts w:hint="eastAsia" w:cs="宋体"/>
          <w:szCs w:val="21"/>
        </w:rPr>
      </w:pPr>
      <w:r>
        <w:rPr>
          <w:rFonts w:hint="eastAsia" w:cs="宋体"/>
          <w:szCs w:val="21"/>
        </w:rPr>
        <w:t>燃料供给系统、润滑系统、冷却系统的密封性；</w:t>
      </w:r>
    </w:p>
    <w:p w14:paraId="7C038869">
      <w:pPr>
        <w:pStyle w:val="2"/>
        <w:numPr>
          <w:ilvl w:val="0"/>
          <w:numId w:val="4"/>
        </w:numPr>
        <w:ind w:left="0" w:firstLine="420" w:firstLineChars="200"/>
        <w:rPr>
          <w:rFonts w:hint="eastAsia" w:cs="宋体"/>
          <w:szCs w:val="21"/>
        </w:rPr>
      </w:pPr>
      <w:r>
        <w:rPr>
          <w:rFonts w:hint="eastAsia" w:cs="宋体"/>
          <w:szCs w:val="21"/>
        </w:rPr>
        <w:t>整机装配调整检查按制造厂的出场技术条件进行，主要包括：热试磨合、渗漏检查、间隙检查、异响检查、技术调整等。</w:t>
      </w:r>
    </w:p>
    <w:p w14:paraId="2E950ED8">
      <w:pPr>
        <w:pStyle w:val="38"/>
        <w:rPr>
          <w:rFonts w:hint="eastAsia"/>
        </w:rPr>
      </w:pPr>
      <w:bookmarkStart w:id="46" w:name="_Toc29252"/>
      <w:bookmarkStart w:id="47" w:name="_Toc26492"/>
      <w:r>
        <w:rPr>
          <w:rFonts w:hint="eastAsia"/>
        </w:rPr>
        <w:t>6.4　质量抽查</w:t>
      </w:r>
      <w:bookmarkEnd w:id="46"/>
      <w:bookmarkEnd w:id="47"/>
    </w:p>
    <w:p w14:paraId="2767411F">
      <w:pPr>
        <w:pStyle w:val="25"/>
        <w:ind w:firstLine="420"/>
        <w:rPr>
          <w:rFonts w:hint="eastAsia"/>
        </w:rPr>
      </w:pPr>
      <w:r>
        <w:rPr>
          <w:rFonts w:hint="eastAsia"/>
        </w:rPr>
        <w:t>按照QC/T 901的规定或按企业标准进行重型车用柴油机质量抽查。</w:t>
      </w:r>
    </w:p>
    <w:p w14:paraId="3F3A1522">
      <w:pPr>
        <w:pStyle w:val="39"/>
        <w:rPr>
          <w:rFonts w:hint="eastAsia"/>
        </w:rPr>
      </w:pPr>
      <w:bookmarkStart w:id="48" w:name="_Toc17993"/>
      <w:bookmarkStart w:id="49" w:name="_Toc23539"/>
      <w:r>
        <w:rPr>
          <w:rFonts w:hint="eastAsia"/>
        </w:rPr>
        <w:t>7　标志、包装、运输、贮存</w:t>
      </w:r>
      <w:bookmarkEnd w:id="48"/>
      <w:bookmarkEnd w:id="49"/>
    </w:p>
    <w:p w14:paraId="32498F25">
      <w:pPr>
        <w:pStyle w:val="2"/>
        <w:ind w:firstLine="420" w:firstLineChars="200"/>
        <w:rPr>
          <w:rFonts w:hint="eastAsia"/>
        </w:rPr>
      </w:pPr>
      <w:r>
        <w:rPr>
          <w:rFonts w:hint="eastAsia"/>
        </w:rPr>
        <w:t>重型车用柴油机应满足QC/T 471对标志、包装、运输和贮存的规定。</w:t>
      </w:r>
    </w:p>
    <w:p w14:paraId="2FB741E3">
      <w:pPr>
        <w:pStyle w:val="25"/>
        <w:ind w:firstLine="420"/>
        <w:rPr>
          <w:rFonts w:hint="eastAsia"/>
        </w:rPr>
        <w:sectPr>
          <w:headerReference r:id="rId15" w:type="first"/>
          <w:footerReference r:id="rId17" w:type="first"/>
          <w:headerReference r:id="rId13" w:type="default"/>
          <w:headerReference r:id="rId14" w:type="even"/>
          <w:footerReference r:id="rId16" w:type="even"/>
          <w:pgSz w:w="11906" w:h="16838"/>
          <w:pgMar w:top="1418" w:right="1134" w:bottom="1134" w:left="1418" w:header="1417" w:footer="1134" w:gutter="0"/>
          <w:pgNumType w:start="1"/>
          <w:cols w:space="425" w:num="1"/>
          <w:titlePg/>
          <w:docGrid w:type="lines" w:linePitch="312" w:charSpace="0"/>
        </w:sectPr>
      </w:pPr>
      <w:r>
        <w:rPr>
          <w:rFonts w:hint="eastAsia"/>
        </w:rPr>
        <mc:AlternateContent>
          <mc:Choice Requires="wps">
            <w:drawing>
              <wp:anchor distT="0" distB="0" distL="114300" distR="114300" simplePos="0" relativeHeight="251662336" behindDoc="0" locked="0" layoutInCell="1" allowOverlap="1">
                <wp:simplePos x="0" y="0"/>
                <wp:positionH relativeFrom="column">
                  <wp:posOffset>2228850</wp:posOffset>
                </wp:positionH>
                <wp:positionV relativeFrom="paragraph">
                  <wp:posOffset>335915</wp:posOffset>
                </wp:positionV>
                <wp:extent cx="1422400" cy="0"/>
                <wp:effectExtent l="0" t="4445" r="0" b="5080"/>
                <wp:wrapNone/>
                <wp:docPr id="6" name="Line 116"/>
                <wp:cNvGraphicFramePr/>
                <a:graphic xmlns:a="http://schemas.openxmlformats.org/drawingml/2006/main">
                  <a:graphicData uri="http://schemas.microsoft.com/office/word/2010/wordprocessingShape">
                    <wps:wsp>
                      <wps:cNvCnPr>
                        <a:cxnSpLocks noChangeShapeType="1"/>
                      </wps:cNvCnPr>
                      <wps:spPr bwMode="auto">
                        <a:xfrm>
                          <a:off x="0" y="0"/>
                          <a:ext cx="1422400" cy="0"/>
                        </a:xfrm>
                        <a:prstGeom prst="line">
                          <a:avLst/>
                        </a:prstGeom>
                        <a:noFill/>
                        <a:ln w="9525">
                          <a:solidFill>
                            <a:srgbClr val="000000"/>
                          </a:solidFill>
                          <a:round/>
                        </a:ln>
                      </wps:spPr>
                      <wps:bodyPr/>
                    </wps:wsp>
                  </a:graphicData>
                </a:graphic>
              </wp:anchor>
            </w:drawing>
          </mc:Choice>
          <mc:Fallback>
            <w:pict>
              <v:line id="Line 116" o:spid="_x0000_s1026" o:spt="20" style="position:absolute;left:0pt;margin-left:175.5pt;margin-top:26.45pt;height:0pt;width:112pt;z-index:251662336;mso-width-relative:page;mso-height-relative:page;" filled="f" stroked="t" coordsize="21600,21600" o:gfxdata="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OsenEHWAAAACQEAAA8AAAAAAAAAAQAgAAAAIgAAAGRycy9k&#10;b3ducmV2LnhtbFBLAQIUABQAAAAIAIdO4kBPQkRMywEAAKEDAAAOAAAAAAAAAAEAIAAAACUBAABk&#10;cnMvZTJvRG9jLnhtbFBLBQYAAAAABgAGAFkBAABiBQAAAAA=&#10;">
                <v:fill on="f" focussize="0,0"/>
                <v:stroke color="#000000" joinstyle="round"/>
                <v:imagedata o:title=""/>
                <o:lock v:ext="edit" aspectratio="f"/>
              </v:line>
            </w:pict>
          </mc:Fallback>
        </mc:AlternateContent>
      </w:r>
    </w:p>
    <w:p w14:paraId="2A4D186C">
      <w:pPr>
        <w:pStyle w:val="54"/>
        <w:rPr>
          <w:rFonts w:hint="eastAsia" w:ascii="黑体" w:hAnsi="黑体" w:eastAsia="黑体"/>
        </w:rPr>
      </w:pPr>
      <w:bookmarkStart w:id="50" w:name="_Toc4700"/>
      <w:bookmarkStart w:id="51" w:name="_Toc30234"/>
      <w:r>
        <w:rPr>
          <w:rFonts w:hint="eastAsia"/>
        </w:rPr>
        <w:t>附　录　A</w:t>
      </w:r>
      <w:bookmarkEnd w:id="50"/>
      <w:r>
        <w:rPr>
          <w:rFonts w:hint="eastAsia"/>
        </w:rPr>
        <w:br w:type="textWrapping"/>
      </w:r>
      <w:r>
        <w:rPr>
          <w:rFonts w:hint="eastAsia" w:ascii="黑体" w:hAnsi="黑体" w:eastAsia="黑体"/>
          <w:sz w:val="21"/>
          <w:szCs w:val="21"/>
        </w:rPr>
        <w:t>（规范性）</w:t>
      </w:r>
      <w:r>
        <w:rPr>
          <w:rFonts w:hint="eastAsia"/>
          <w:sz w:val="21"/>
          <w:szCs w:val="21"/>
        </w:rPr>
        <w:br w:type="textWrapping"/>
      </w:r>
      <w:r>
        <w:rPr>
          <w:rFonts w:hint="eastAsia" w:ascii="黑体" w:hAnsi="黑体" w:eastAsia="黑体"/>
          <w:sz w:val="21"/>
          <w:szCs w:val="21"/>
        </w:rPr>
        <w:t>注意事项</w:t>
      </w:r>
      <w:bookmarkEnd w:id="51"/>
    </w:p>
    <w:p w14:paraId="6AAEAFB0">
      <w:pPr>
        <w:spacing w:before="156" w:beforeLines="50" w:after="156" w:afterLines="50"/>
        <w:rPr>
          <w:rFonts w:hint="eastAsia" w:ascii="黑体" w:hAnsi="黑体" w:eastAsia="黑体" w:cs="黑体"/>
          <w:color w:val="000000"/>
          <w:szCs w:val="21"/>
        </w:rPr>
      </w:pPr>
      <w:r>
        <w:rPr>
          <w:rFonts w:hint="eastAsia" w:ascii="黑体" w:hAnsi="黑体" w:eastAsia="黑体" w:cs="黑体"/>
          <w:color w:val="000000"/>
          <w:szCs w:val="21"/>
        </w:rPr>
        <w:t>A.1  燃料</w:t>
      </w:r>
    </w:p>
    <w:p w14:paraId="4A96E594">
      <w:pPr>
        <w:ind w:firstLine="420" w:firstLineChars="200"/>
        <w:rPr>
          <w:rFonts w:ascii="Calibri" w:hAnsi="Calibri" w:cs="Times New Roman"/>
          <w:szCs w:val="21"/>
        </w:rPr>
      </w:pPr>
      <w:r>
        <w:rPr>
          <w:rFonts w:hint="eastAsia" w:ascii="Calibri" w:hAnsi="Calibri" w:cs="Times New Roman"/>
          <w:szCs w:val="21"/>
        </w:rPr>
        <w:t>规范燃料管路布置，设置燃料温度、压力、泄露监测与报警装置，减少因不安全因素造成的安全事件。</w:t>
      </w:r>
    </w:p>
    <w:p w14:paraId="19F23529">
      <w:pPr>
        <w:spacing w:before="156" w:beforeLines="50" w:after="156" w:afterLines="50"/>
        <w:rPr>
          <w:rFonts w:hint="eastAsia" w:ascii="黑体" w:hAnsi="黑体" w:eastAsia="黑体" w:cs="黑体"/>
          <w:color w:val="000000"/>
          <w:szCs w:val="21"/>
        </w:rPr>
      </w:pPr>
      <w:r>
        <w:rPr>
          <w:rFonts w:hint="eastAsia" w:ascii="黑体" w:hAnsi="黑体" w:eastAsia="黑体" w:cs="黑体"/>
          <w:color w:val="000000"/>
          <w:szCs w:val="21"/>
        </w:rPr>
        <w:t>A.2  机械安全</w:t>
      </w:r>
    </w:p>
    <w:p w14:paraId="7BEE29ED">
      <w:pPr>
        <w:ind w:firstLine="420" w:firstLineChars="200"/>
        <w:rPr>
          <w:rFonts w:ascii="Calibri" w:hAnsi="Calibri" w:cs="Times New Roman"/>
          <w:szCs w:val="21"/>
        </w:rPr>
      </w:pPr>
      <w:r>
        <w:rPr>
          <w:rFonts w:hint="eastAsia" w:ascii="Calibri" w:hAnsi="Calibri" w:cs="Times New Roman"/>
          <w:szCs w:val="21"/>
        </w:rPr>
        <w:t>柴油机台架安装，做好紧固件安全状态标志，每次试验前做好点检，确保柴油机各部件都处于安全链接状态。</w:t>
      </w:r>
    </w:p>
    <w:p w14:paraId="7ACB6699">
      <w:pPr>
        <w:spacing w:before="156" w:beforeLines="50" w:after="156" w:afterLines="50"/>
        <w:rPr>
          <w:rFonts w:hint="eastAsia" w:ascii="黑体" w:hAnsi="黑体" w:eastAsia="黑体" w:cs="黑体"/>
          <w:color w:val="000000"/>
          <w:szCs w:val="21"/>
        </w:rPr>
      </w:pPr>
      <w:r>
        <w:rPr>
          <w:rFonts w:hint="eastAsia" w:ascii="黑体" w:hAnsi="黑体" w:eastAsia="黑体" w:cs="黑体"/>
          <w:color w:val="000000"/>
          <w:szCs w:val="21"/>
        </w:rPr>
        <w:t>A.3  标气</w:t>
      </w:r>
    </w:p>
    <w:p w14:paraId="682C055F">
      <w:pPr>
        <w:ind w:firstLine="420" w:firstLineChars="200"/>
        <w:rPr>
          <w:rFonts w:ascii="Calibri" w:hAnsi="Calibri" w:cs="Times New Roman"/>
          <w:szCs w:val="21"/>
        </w:rPr>
      </w:pPr>
      <w:r>
        <w:rPr>
          <w:rFonts w:hint="eastAsia" w:ascii="Calibri" w:hAnsi="Calibri" w:cs="Times New Roman"/>
          <w:szCs w:val="21"/>
        </w:rPr>
        <w:t>试验过程所用标气均需要单独存放，定期检查，标气间设置强制通风、气体浓度检查与报警装置，失效及不合规标气禁用。</w:t>
      </w:r>
    </w:p>
    <w:p w14:paraId="7BD70F36">
      <w:pPr>
        <w:pStyle w:val="2"/>
        <w:rPr>
          <w:rFonts w:ascii="Calibri" w:hAnsi="Calibri" w:cs="Times New Roman"/>
          <w:szCs w:val="21"/>
        </w:rPr>
      </w:pPr>
    </w:p>
    <w:p w14:paraId="4DD8F7F0">
      <w:pPr>
        <w:rPr>
          <w:rStyle w:val="21"/>
          <w:rFonts w:hint="eastAsia" w:cs="宋体"/>
          <w:b w:val="0"/>
          <w:bCs/>
          <w:color w:val="404040"/>
          <w:szCs w:val="21"/>
        </w:rPr>
        <w:sectPr>
          <w:headerReference r:id="rId18" w:type="first"/>
          <w:footerReference r:id="rId19" w:type="first"/>
          <w:pgSz w:w="11906" w:h="16838"/>
          <w:pgMar w:top="1418" w:right="1134" w:bottom="1134" w:left="1418" w:header="1418" w:footer="1134" w:gutter="0"/>
          <w:cols w:space="425" w:num="1"/>
          <w:titlePg/>
          <w:docGrid w:type="lines" w:linePitch="312" w:charSpace="0"/>
        </w:sectPr>
      </w:pPr>
    </w:p>
    <w:p w14:paraId="42D7B285">
      <w:pPr>
        <w:jc w:val="center"/>
        <w:rPr>
          <w:rFonts w:hint="eastAsia" w:ascii="Times New Roman"/>
          <w:szCs w:val="21"/>
        </w:rPr>
      </w:pPr>
      <w:r>
        <w:rPr>
          <w:rFonts w:hint="eastAsia" w:ascii="Times New Roman"/>
          <w:szCs w:val="21"/>
        </w:rPr>
        <mc:AlternateContent>
          <mc:Choice Requires="wps">
            <w:drawing>
              <wp:anchor distT="0" distB="0" distL="114300" distR="114300" simplePos="0" relativeHeight="251663360" behindDoc="0" locked="0" layoutInCell="1" allowOverlap="1">
                <wp:simplePos x="0" y="0"/>
                <wp:positionH relativeFrom="column">
                  <wp:posOffset>5972810</wp:posOffset>
                </wp:positionH>
                <wp:positionV relativeFrom="paragraph">
                  <wp:posOffset>3810</wp:posOffset>
                </wp:positionV>
                <wp:extent cx="476250" cy="1485900"/>
                <wp:effectExtent l="0" t="0" r="0" b="0"/>
                <wp:wrapNone/>
                <wp:docPr id="156267049" name="文本框 2"/>
                <wp:cNvGraphicFramePr/>
                <a:graphic xmlns:a="http://schemas.openxmlformats.org/drawingml/2006/main">
                  <a:graphicData uri="http://schemas.microsoft.com/office/word/2010/wordprocessingShape">
                    <wps:wsp>
                      <wps:cNvSpPr txBox="1"/>
                      <wps:spPr>
                        <a:xfrm>
                          <a:off x="0" y="0"/>
                          <a:ext cx="476250" cy="1485900"/>
                        </a:xfrm>
                        <a:prstGeom prst="rect">
                          <a:avLst/>
                        </a:prstGeom>
                        <a:noFill/>
                        <a:ln w="6350">
                          <a:noFill/>
                        </a:ln>
                      </wps:spPr>
                      <wps:txbx>
                        <w:txbxContent>
                          <w:p w14:paraId="6F4A08D3">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wps:txbx>
                      <wps:bodyPr rot="0" spcFirstLastPara="0" vertOverflow="overflow" horzOverflow="overflow" vert="vert270" wrap="square" lIns="91440" tIns="45720" rIns="91440" bIns="45720" numCol="1" spcCol="0" rtlCol="0" fromWordArt="0" anchor="t" anchorCtr="0" forceAA="0" compatLnSpc="1">
                        <a:noAutofit/>
                      </wps:bodyPr>
                    </wps:wsp>
                  </a:graphicData>
                </a:graphic>
              </wp:anchor>
            </w:drawing>
          </mc:Choice>
          <mc:Fallback>
            <w:pict>
              <v:shape id="文本框 2" o:spid="_x0000_s1026" o:spt="202" type="#_x0000_t202" style="position:absolute;left:0pt;margin-left:470.3pt;margin-top:0.3pt;height:117pt;width:37.5pt;z-index:251663360;mso-width-relative:page;mso-height-relative:page;" filled="f" stroked="f" coordsize="21600,21600" o:gfxdata="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HomQrdkAAAAJAQAADwAAAAAAAAABACAAAAAi&#10;AAAAZHJzL2Rvd25yZXYueG1sUEsBAhQAFAAAAAgAh07iQClkmxlCAgAAcQQAAA4AAAAAAAAAAQAg&#10;AAAAKAEAAGRycy9lMm9Eb2MueG1sUEsFBgAAAAAGAAYAWQEAANwFAAAAAA==&#10;">
                <v:fill on="f" focussize="0,0"/>
                <v:stroke on="f" weight="0.5pt"/>
                <v:imagedata o:title=""/>
                <o:lock v:ext="edit" aspectratio="f"/>
                <v:textbox style="layout-flow:vertical;mso-layout-flow-alt:bottom-to-top;">
                  <w:txbxContent>
                    <w:p w14:paraId="6F4A08D3">
                      <w:pPr>
                        <w:rPr>
                          <w:rFonts w:hint="eastAsia"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T/CSICE XXX-XXX</w:t>
                      </w:r>
                    </w:p>
                  </w:txbxContent>
                </v:textbox>
              </v:shape>
            </w:pict>
          </mc:Fallback>
        </mc:AlternateContent>
      </w:r>
    </w:p>
    <w:p w14:paraId="67E87BF8">
      <w:pPr>
        <w:pStyle w:val="25"/>
        <w:ind w:firstLine="0" w:firstLineChars="0"/>
        <w:rPr>
          <w:rFonts w:hint="eastAsia"/>
        </w:rPr>
      </w:pPr>
    </w:p>
    <w:p w14:paraId="5CE8C943">
      <w:pPr>
        <w:rPr>
          <w:rFonts w:hint="eastAsia"/>
        </w:rPr>
      </w:pPr>
    </w:p>
    <w:p w14:paraId="697DE5F4">
      <w:pPr>
        <w:rPr>
          <w:rFonts w:hint="eastAsia"/>
        </w:rPr>
      </w:pPr>
    </w:p>
    <w:sectPr>
      <w:headerReference r:id="rId20" w:type="first"/>
      <w:footerReference r:id="rId21" w:type="first"/>
      <w:pgSz w:w="11906" w:h="16838"/>
      <w:pgMar w:top="1418" w:right="1134" w:bottom="1134" w:left="1418" w:header="1418" w:footer="1134"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方正魏碑_GBK">
    <w:panose1 w:val="02000000000000000000"/>
    <w:charset w:val="86"/>
    <w:family w:val="auto"/>
    <w:pitch w:val="default"/>
    <w:sig w:usb0="A00002BF" w:usb1="38CF7CFA" w:usb2="00082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39855556"/>
    </w:sdtPr>
    <w:sdtContent>
      <w:p w14:paraId="427D30FB">
        <w:pPr>
          <w:pStyle w:val="59"/>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47049363"/>
    </w:sdtPr>
    <w:sdtContent>
      <w:p w14:paraId="0B8B6A64">
        <w:pPr>
          <w:pStyle w:val="58"/>
          <w:rPr>
            <w:rFonts w:hint="eastAsia"/>
          </w:rPr>
        </w:pPr>
        <w:r>
          <w:rPr>
            <w:rFonts w:hint="eastAsia"/>
          </w:rPr>
          <w:fldChar w:fldCharType="begin"/>
        </w:r>
        <w:r>
          <w:rPr>
            <w:rFonts w:hint="eastAsia"/>
          </w:rPr>
          <w:instrText xml:space="preserve"> PAGE  \* Arabic  \* MERGEFORMAT </w:instrText>
        </w:r>
        <w:r>
          <w:rPr>
            <w:rFonts w:hint="eastAsia"/>
          </w:rPr>
          <w:fldChar w:fldCharType="separate"/>
        </w:r>
        <w:r>
          <w:rPr>
            <w:rFonts w:hint="eastAsia"/>
          </w:rPr>
          <w:t>2</w:t>
        </w:r>
        <w:r>
          <w:rPr>
            <w:rFonts w:hint="eastAsia"/>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047CC">
    <w:pPr>
      <w:ind w:right="227"/>
      <w:jc w:val="right"/>
      <w:rPr>
        <w:rFonts w:hint="eastAsi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4787141"/>
    </w:sdtPr>
    <w:sdtContent>
      <w:p w14:paraId="2036C840">
        <w:pPr>
          <w:pStyle w:val="59"/>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96435523"/>
    </w:sdtPr>
    <w:sdtContent>
      <w:p w14:paraId="5E7A7734">
        <w:pPr>
          <w:pStyle w:val="58"/>
          <w:rPr>
            <w:rFonts w:hint="eastAsia"/>
          </w:rPr>
        </w:pPr>
        <w:r>
          <w:fldChar w:fldCharType="begin"/>
        </w:r>
        <w:r>
          <w:rPr>
            <w:rFonts w:hint="eastAsia"/>
          </w:rPr>
          <w:instrText xml:space="preserve">PAGE   \* MERGEFORMAT</w:instrText>
        </w:r>
        <w:r>
          <w:fldChar w:fldCharType="separate"/>
        </w:r>
        <w:r>
          <w:rPr>
            <w:rFonts w:hint="eastAsia"/>
            <w:lang w:val="zh-CN"/>
          </w:rPr>
          <w:t>2</w:t>
        </w:r>
        <w: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8775624"/>
    </w:sdtPr>
    <w:sdtContent>
      <w:p w14:paraId="5CDB458C">
        <w:pPr>
          <w:pStyle w:val="59"/>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68540983"/>
    </w:sdtPr>
    <w:sdtContent>
      <w:p w14:paraId="5FD7E2C9">
        <w:pPr>
          <w:pStyle w:val="58"/>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58819354"/>
    </w:sdtPr>
    <w:sdtContent>
      <w:p w14:paraId="41E58103">
        <w:pPr>
          <w:pStyle w:val="59"/>
          <w:rPr>
            <w:rFonts w:hint="eastAsia"/>
          </w:rPr>
        </w:pPr>
        <w:r>
          <w:fldChar w:fldCharType="begin"/>
        </w:r>
        <w:r>
          <w:instrText xml:space="preserve">PAGE   \* MERGEFORMAT</w:instrText>
        </w:r>
        <w:r>
          <w:fldChar w:fldCharType="separate"/>
        </w:r>
        <w:r>
          <w:rPr>
            <w:lang w:val="zh-CN"/>
          </w:rPr>
          <w:t>2</w:t>
        </w:r>
        <w:r>
          <w:fldChar w:fldCharType="end"/>
        </w:r>
      </w:p>
    </w:sdtContent>
  </w:sdt>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11E833">
    <w:pPr>
      <w:ind w:left="227"/>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1298DD">
    <w:pPr>
      <w:pStyle w:val="26"/>
      <w:rPr>
        <w:rFonts w:hint="eastAsia"/>
      </w:rPr>
    </w:pPr>
    <w:r>
      <w:rPr>
        <w:rFonts w:hint="eastAsia"/>
      </w:rPr>
      <w:t>T/CSICE 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579A26">
    <w:pP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AB08A2">
    <w:pPr>
      <w:jc w:val="right"/>
      <w:rPr>
        <w:rFonts w:hint="eastAsia" w:ascii="黑体" w:hAnsi="黑体" w:eastAsia="黑体"/>
        <w:szCs w:val="21"/>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7D00F7">
    <w:pPr>
      <w:jc w:val="right"/>
      <w:rPr>
        <w:rFonts w:hint="eastAsia" w:ascii="黑体" w:hAnsi="黑体" w:eastAsia="黑体"/>
        <w:szCs w:val="21"/>
      </w:rPr>
    </w:pPr>
    <w:r>
      <w:rPr>
        <w:rFonts w:hint="eastAsia" w:ascii="黑体" w:hAnsi="黑体" w:eastAsia="黑体"/>
        <w:szCs w:val="21"/>
      </w:rPr>
      <w:t>T/CSICE XXX-XXX</w:t>
    </w:r>
  </w:p>
  <w:p w14:paraId="2A9AEB5C">
    <w:pPr>
      <w:pStyle w:val="46"/>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C3BCCA">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77FDC2">
    <w:pPr>
      <w:pStyle w:val="46"/>
      <w:rPr>
        <w:rFonts w:hint="eastAsia"/>
      </w:rPr>
    </w:pPr>
    <w:r>
      <w:rPr>
        <w:rFonts w:hint="eastAsia"/>
      </w:rPr>
      <w:t>T/CSICE XXX-XXX</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62A55A">
    <w:pPr>
      <w:pStyle w:val="46"/>
      <w:rPr>
        <w:rFonts w:hint="eastAsia"/>
      </w:rPr>
    </w:pPr>
    <w:r>
      <w:rPr>
        <w:rFonts w:hint="eastAsia"/>
      </w:rPr>
      <w:t>T/CSICE XXX-XXX</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D73A03">
    <w:pPr>
      <w:pStyle w:val="26"/>
      <w:rPr>
        <w:rFonts w:hint="eastAsia"/>
      </w:rPr>
    </w:pPr>
    <w:r>
      <w:rPr>
        <w:rFonts w:hint="eastAsia"/>
      </w:rPr>
      <w:t>T/CSICE XXX-XXX</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D2755E">
    <w:pPr>
      <w:pStyle w:val="46"/>
      <w:rPr>
        <w:rFonts w:hint="eastAsia"/>
      </w:rPr>
    </w:pPr>
    <w:r>
      <w:rPr>
        <w:rFonts w:hint="eastAsia"/>
      </w:rPr>
      <w:t>T/CSICE XXX-XXX</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E82613">
    <w:pPr>
      <w:pStyle w:val="26"/>
      <w:rPr>
        <w:rFonts w:hint="eastAsia"/>
      </w:rPr>
    </w:pPr>
    <w:r>
      <w:rPr>
        <w:rFonts w:hint="eastAsia"/>
      </w:rPr>
      <w:t>T/CSICE 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D5F0965"/>
    <w:multiLevelType w:val="multilevel"/>
    <w:tmpl w:val="AD5F0965"/>
    <w:lvl w:ilvl="0" w:tentative="0">
      <w:start w:val="1"/>
      <w:numFmt w:val="lowerLetter"/>
      <w:suff w:val="nothing"/>
      <w:lvlText w:val="%1）"/>
      <w:lvlJc w:val="left"/>
      <w:pPr>
        <w:tabs>
          <w:tab w:val="left" w:pos="0"/>
        </w:tabs>
        <w:ind w:left="1560" w:hanging="720"/>
      </w:pPr>
      <w:rPr>
        <w:rFonts w:hint="default" w:ascii="宋体" w:hAnsi="宋体" w:eastAsia="宋体" w:cs="宋体"/>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1">
    <w:nsid w:val="C9910C77"/>
    <w:multiLevelType w:val="multilevel"/>
    <w:tmpl w:val="C9910C77"/>
    <w:lvl w:ilvl="0" w:tentative="0">
      <w:start w:val="1"/>
      <w:numFmt w:val="lowerLetter"/>
      <w:suff w:val="nothing"/>
      <w:lvlText w:val="%1）"/>
      <w:lvlJc w:val="left"/>
      <w:pPr>
        <w:tabs>
          <w:tab w:val="left" w:pos="0"/>
        </w:tabs>
        <w:ind w:left="1560" w:hanging="720"/>
      </w:pPr>
      <w:rPr>
        <w:rFonts w:hint="default" w:ascii="宋体" w:hAnsi="宋体" w:eastAsia="宋体" w:cs="宋体"/>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2">
    <w:nsid w:val="50EC3998"/>
    <w:multiLevelType w:val="multilevel"/>
    <w:tmpl w:val="50EC3998"/>
    <w:lvl w:ilvl="0" w:tentative="0">
      <w:start w:val="1"/>
      <w:numFmt w:val="lowerLetter"/>
      <w:suff w:val="nothing"/>
      <w:lvlText w:val="%1）"/>
      <w:lvlJc w:val="left"/>
      <w:pPr>
        <w:tabs>
          <w:tab w:val="left" w:pos="0"/>
        </w:tabs>
        <w:ind w:left="1560" w:hanging="720"/>
      </w:pPr>
      <w:rPr>
        <w:rFonts w:hint="default" w:ascii="宋体" w:hAnsi="宋体" w:eastAsia="宋体" w:cs="宋体"/>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abstractNum w:abstractNumId="3">
    <w:nsid w:val="5869BE34"/>
    <w:multiLevelType w:val="multilevel"/>
    <w:tmpl w:val="5869BE34"/>
    <w:lvl w:ilvl="0" w:tentative="0">
      <w:start w:val="1"/>
      <w:numFmt w:val="lowerLetter"/>
      <w:suff w:val="nothing"/>
      <w:lvlText w:val="%1）"/>
      <w:lvlJc w:val="left"/>
      <w:pPr>
        <w:tabs>
          <w:tab w:val="left" w:pos="0"/>
        </w:tabs>
        <w:ind w:left="1560" w:hanging="720"/>
      </w:pPr>
      <w:rPr>
        <w:rFonts w:hint="default" w:ascii="宋体" w:hAnsi="宋体" w:eastAsia="宋体" w:cs="宋体"/>
      </w:rPr>
    </w:lvl>
    <w:lvl w:ilvl="1" w:tentative="0">
      <w:start w:val="1"/>
      <w:numFmt w:val="lowerLetter"/>
      <w:lvlText w:val="%2)"/>
      <w:lvlJc w:val="left"/>
      <w:pPr>
        <w:ind w:left="1680" w:hanging="420"/>
      </w:pPr>
    </w:lvl>
    <w:lvl w:ilvl="2" w:tentative="0">
      <w:start w:val="1"/>
      <w:numFmt w:val="lowerRoman"/>
      <w:lvlText w:val="%3."/>
      <w:lvlJc w:val="right"/>
      <w:pPr>
        <w:ind w:left="2100" w:hanging="420"/>
      </w:pPr>
    </w:lvl>
    <w:lvl w:ilvl="3" w:tentative="0">
      <w:start w:val="1"/>
      <w:numFmt w:val="decimal"/>
      <w:lvlText w:val="%4."/>
      <w:lvlJc w:val="left"/>
      <w:pPr>
        <w:ind w:left="2520" w:hanging="420"/>
      </w:pPr>
    </w:lvl>
    <w:lvl w:ilvl="4" w:tentative="0">
      <w:start w:val="1"/>
      <w:numFmt w:val="lowerLetter"/>
      <w:lvlText w:val="%5)"/>
      <w:lvlJc w:val="left"/>
      <w:pPr>
        <w:ind w:left="2940" w:hanging="420"/>
      </w:pPr>
    </w:lvl>
    <w:lvl w:ilvl="5" w:tentative="0">
      <w:start w:val="1"/>
      <w:numFmt w:val="lowerRoman"/>
      <w:lvlText w:val="%6."/>
      <w:lvlJc w:val="right"/>
      <w:pPr>
        <w:ind w:left="3360" w:hanging="420"/>
      </w:pPr>
    </w:lvl>
    <w:lvl w:ilvl="6" w:tentative="0">
      <w:start w:val="1"/>
      <w:numFmt w:val="decimal"/>
      <w:lvlText w:val="%7."/>
      <w:lvlJc w:val="left"/>
      <w:pPr>
        <w:ind w:left="3780" w:hanging="420"/>
      </w:pPr>
    </w:lvl>
    <w:lvl w:ilvl="7" w:tentative="0">
      <w:start w:val="1"/>
      <w:numFmt w:val="lowerLetter"/>
      <w:lvlText w:val="%8)"/>
      <w:lvlJc w:val="left"/>
      <w:pPr>
        <w:ind w:left="4200" w:hanging="420"/>
      </w:pPr>
    </w:lvl>
    <w:lvl w:ilvl="8" w:tentative="0">
      <w:start w:val="1"/>
      <w:numFmt w:val="lowerRoman"/>
      <w:lvlText w:val="%9."/>
      <w:lvlJc w:val="right"/>
      <w:pPr>
        <w:ind w:left="462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mirrorMargins w:val="1"/>
  <w:bordersDoNotSurroundHeader w:val="1"/>
  <w:bordersDoNotSurroundFooter w:val="1"/>
  <w:documentProtection w:enforcement="0"/>
  <w:defaultTabStop w:val="420"/>
  <w:evenAndOddHeaders w:val="1"/>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UwZjBiNjgxZjRhYmQ0N2JkMGQ3YmZkZjNmZWE5ZWQifQ=="/>
  </w:docVars>
  <w:rsids>
    <w:rsidRoot w:val="00B726FA"/>
    <w:rsid w:val="000008AE"/>
    <w:rsid w:val="00000B77"/>
    <w:rsid w:val="00017FA5"/>
    <w:rsid w:val="00023CBF"/>
    <w:rsid w:val="00026F61"/>
    <w:rsid w:val="00031B1F"/>
    <w:rsid w:val="00036D03"/>
    <w:rsid w:val="00037050"/>
    <w:rsid w:val="00047E8A"/>
    <w:rsid w:val="00053812"/>
    <w:rsid w:val="0005460C"/>
    <w:rsid w:val="000610C3"/>
    <w:rsid w:val="00061F1E"/>
    <w:rsid w:val="000646A5"/>
    <w:rsid w:val="0007018A"/>
    <w:rsid w:val="00071086"/>
    <w:rsid w:val="000836DF"/>
    <w:rsid w:val="000859ED"/>
    <w:rsid w:val="000906FA"/>
    <w:rsid w:val="00091DAD"/>
    <w:rsid w:val="00097670"/>
    <w:rsid w:val="000B0CC7"/>
    <w:rsid w:val="000B6AD2"/>
    <w:rsid w:val="000C7A74"/>
    <w:rsid w:val="000D13FE"/>
    <w:rsid w:val="000D3B4E"/>
    <w:rsid w:val="000D4D28"/>
    <w:rsid w:val="000D6BE0"/>
    <w:rsid w:val="000D7BF0"/>
    <w:rsid w:val="000E19D1"/>
    <w:rsid w:val="000E1A27"/>
    <w:rsid w:val="000E6263"/>
    <w:rsid w:val="000E77B6"/>
    <w:rsid w:val="000F340C"/>
    <w:rsid w:val="0010124A"/>
    <w:rsid w:val="00105868"/>
    <w:rsid w:val="00105977"/>
    <w:rsid w:val="00105F99"/>
    <w:rsid w:val="00106B7F"/>
    <w:rsid w:val="00111C88"/>
    <w:rsid w:val="0012462F"/>
    <w:rsid w:val="001270FF"/>
    <w:rsid w:val="0012721D"/>
    <w:rsid w:val="00127B04"/>
    <w:rsid w:val="00136932"/>
    <w:rsid w:val="00137389"/>
    <w:rsid w:val="001378F8"/>
    <w:rsid w:val="001413B7"/>
    <w:rsid w:val="00141C55"/>
    <w:rsid w:val="0014380A"/>
    <w:rsid w:val="00145C43"/>
    <w:rsid w:val="00146756"/>
    <w:rsid w:val="0015688F"/>
    <w:rsid w:val="00156F18"/>
    <w:rsid w:val="00160E3E"/>
    <w:rsid w:val="001648AC"/>
    <w:rsid w:val="00165178"/>
    <w:rsid w:val="001666DE"/>
    <w:rsid w:val="00171505"/>
    <w:rsid w:val="00171585"/>
    <w:rsid w:val="00181E7E"/>
    <w:rsid w:val="00184A07"/>
    <w:rsid w:val="00184F39"/>
    <w:rsid w:val="001855EA"/>
    <w:rsid w:val="00186714"/>
    <w:rsid w:val="00190AC9"/>
    <w:rsid w:val="00191797"/>
    <w:rsid w:val="00192F64"/>
    <w:rsid w:val="001A1031"/>
    <w:rsid w:val="001A1FCC"/>
    <w:rsid w:val="001B1B6B"/>
    <w:rsid w:val="001C0C52"/>
    <w:rsid w:val="001C2B28"/>
    <w:rsid w:val="001C2D6A"/>
    <w:rsid w:val="001C375C"/>
    <w:rsid w:val="001C5952"/>
    <w:rsid w:val="001C5EDF"/>
    <w:rsid w:val="001D1F68"/>
    <w:rsid w:val="001D5653"/>
    <w:rsid w:val="001D58B4"/>
    <w:rsid w:val="001D7761"/>
    <w:rsid w:val="001D7C84"/>
    <w:rsid w:val="001E1826"/>
    <w:rsid w:val="001E3C2B"/>
    <w:rsid w:val="001E47A4"/>
    <w:rsid w:val="001F28D7"/>
    <w:rsid w:val="001F2BE4"/>
    <w:rsid w:val="001F43C5"/>
    <w:rsid w:val="001F69BE"/>
    <w:rsid w:val="001F7E86"/>
    <w:rsid w:val="00200669"/>
    <w:rsid w:val="00200AF3"/>
    <w:rsid w:val="00202651"/>
    <w:rsid w:val="0020354D"/>
    <w:rsid w:val="002041C9"/>
    <w:rsid w:val="00207D9E"/>
    <w:rsid w:val="00223C7A"/>
    <w:rsid w:val="0022407F"/>
    <w:rsid w:val="00224C2A"/>
    <w:rsid w:val="00234A78"/>
    <w:rsid w:val="002363E4"/>
    <w:rsid w:val="00236879"/>
    <w:rsid w:val="002434DA"/>
    <w:rsid w:val="00253011"/>
    <w:rsid w:val="002547BB"/>
    <w:rsid w:val="00254905"/>
    <w:rsid w:val="002602A7"/>
    <w:rsid w:val="00262753"/>
    <w:rsid w:val="00262EB4"/>
    <w:rsid w:val="002662EA"/>
    <w:rsid w:val="002679A7"/>
    <w:rsid w:val="0027609B"/>
    <w:rsid w:val="00276F11"/>
    <w:rsid w:val="00280358"/>
    <w:rsid w:val="002824F9"/>
    <w:rsid w:val="002851E4"/>
    <w:rsid w:val="00286BE6"/>
    <w:rsid w:val="002909F9"/>
    <w:rsid w:val="00294568"/>
    <w:rsid w:val="00295DA9"/>
    <w:rsid w:val="002A1DB8"/>
    <w:rsid w:val="002A51FB"/>
    <w:rsid w:val="002A68B6"/>
    <w:rsid w:val="002B2FAB"/>
    <w:rsid w:val="002B2FBC"/>
    <w:rsid w:val="002B3332"/>
    <w:rsid w:val="002B431A"/>
    <w:rsid w:val="002C1FFB"/>
    <w:rsid w:val="002C71DE"/>
    <w:rsid w:val="002C79F6"/>
    <w:rsid w:val="002D1346"/>
    <w:rsid w:val="002D1975"/>
    <w:rsid w:val="002D2DDD"/>
    <w:rsid w:val="002D4A6F"/>
    <w:rsid w:val="002D7C4D"/>
    <w:rsid w:val="002E3C54"/>
    <w:rsid w:val="002E43C9"/>
    <w:rsid w:val="002E4482"/>
    <w:rsid w:val="002E4546"/>
    <w:rsid w:val="002E5B84"/>
    <w:rsid w:val="002E6134"/>
    <w:rsid w:val="002F223F"/>
    <w:rsid w:val="003078D7"/>
    <w:rsid w:val="003105FC"/>
    <w:rsid w:val="00314CCA"/>
    <w:rsid w:val="00315621"/>
    <w:rsid w:val="00320206"/>
    <w:rsid w:val="00330615"/>
    <w:rsid w:val="00332B46"/>
    <w:rsid w:val="00332C50"/>
    <w:rsid w:val="003374BB"/>
    <w:rsid w:val="003403DD"/>
    <w:rsid w:val="00342EE3"/>
    <w:rsid w:val="003446E1"/>
    <w:rsid w:val="003454CA"/>
    <w:rsid w:val="00346B12"/>
    <w:rsid w:val="00351E9B"/>
    <w:rsid w:val="003565AE"/>
    <w:rsid w:val="00360C0A"/>
    <w:rsid w:val="00361573"/>
    <w:rsid w:val="00367325"/>
    <w:rsid w:val="003716F3"/>
    <w:rsid w:val="003727BC"/>
    <w:rsid w:val="0037357A"/>
    <w:rsid w:val="00373D6D"/>
    <w:rsid w:val="003759A7"/>
    <w:rsid w:val="003774AA"/>
    <w:rsid w:val="003838D3"/>
    <w:rsid w:val="00386CFE"/>
    <w:rsid w:val="00387EE6"/>
    <w:rsid w:val="00390170"/>
    <w:rsid w:val="0039571B"/>
    <w:rsid w:val="003B46C9"/>
    <w:rsid w:val="003C299C"/>
    <w:rsid w:val="003C52BA"/>
    <w:rsid w:val="003C6D13"/>
    <w:rsid w:val="003D3142"/>
    <w:rsid w:val="003D350A"/>
    <w:rsid w:val="003D7C87"/>
    <w:rsid w:val="003E33D7"/>
    <w:rsid w:val="003E62BF"/>
    <w:rsid w:val="003F32F0"/>
    <w:rsid w:val="003F5D73"/>
    <w:rsid w:val="003F73D9"/>
    <w:rsid w:val="004043D3"/>
    <w:rsid w:val="00405301"/>
    <w:rsid w:val="00405476"/>
    <w:rsid w:val="00413D46"/>
    <w:rsid w:val="00415AB8"/>
    <w:rsid w:val="0041604A"/>
    <w:rsid w:val="00416FE1"/>
    <w:rsid w:val="00420F16"/>
    <w:rsid w:val="0042108E"/>
    <w:rsid w:val="0042736B"/>
    <w:rsid w:val="00433110"/>
    <w:rsid w:val="004347D8"/>
    <w:rsid w:val="00434FFE"/>
    <w:rsid w:val="00437E90"/>
    <w:rsid w:val="00440E87"/>
    <w:rsid w:val="00442EE9"/>
    <w:rsid w:val="00447736"/>
    <w:rsid w:val="00447BF5"/>
    <w:rsid w:val="004500C0"/>
    <w:rsid w:val="00452FAB"/>
    <w:rsid w:val="00461442"/>
    <w:rsid w:val="004643D2"/>
    <w:rsid w:val="004708A9"/>
    <w:rsid w:val="00471FD6"/>
    <w:rsid w:val="00473C91"/>
    <w:rsid w:val="004750CD"/>
    <w:rsid w:val="00481490"/>
    <w:rsid w:val="004824ED"/>
    <w:rsid w:val="00494091"/>
    <w:rsid w:val="00495D5A"/>
    <w:rsid w:val="00497C36"/>
    <w:rsid w:val="004A1CDC"/>
    <w:rsid w:val="004A274F"/>
    <w:rsid w:val="004A3341"/>
    <w:rsid w:val="004D1B7A"/>
    <w:rsid w:val="004D3A1D"/>
    <w:rsid w:val="004D6FCC"/>
    <w:rsid w:val="004E4191"/>
    <w:rsid w:val="004E6103"/>
    <w:rsid w:val="004E65B7"/>
    <w:rsid w:val="004F09FC"/>
    <w:rsid w:val="0050053C"/>
    <w:rsid w:val="00500FD8"/>
    <w:rsid w:val="00502B3B"/>
    <w:rsid w:val="005110E3"/>
    <w:rsid w:val="005127A1"/>
    <w:rsid w:val="005128A9"/>
    <w:rsid w:val="005159CE"/>
    <w:rsid w:val="005160D7"/>
    <w:rsid w:val="00523D45"/>
    <w:rsid w:val="005302B4"/>
    <w:rsid w:val="0053188E"/>
    <w:rsid w:val="00537759"/>
    <w:rsid w:val="00546454"/>
    <w:rsid w:val="00546712"/>
    <w:rsid w:val="005469D8"/>
    <w:rsid w:val="0054725C"/>
    <w:rsid w:val="00547A7A"/>
    <w:rsid w:val="00551B6D"/>
    <w:rsid w:val="005536B1"/>
    <w:rsid w:val="00553E80"/>
    <w:rsid w:val="005552A3"/>
    <w:rsid w:val="0059590F"/>
    <w:rsid w:val="0059701D"/>
    <w:rsid w:val="005A1315"/>
    <w:rsid w:val="005A2547"/>
    <w:rsid w:val="005C0D18"/>
    <w:rsid w:val="005C23CE"/>
    <w:rsid w:val="005D00F1"/>
    <w:rsid w:val="005E0E4E"/>
    <w:rsid w:val="005E6117"/>
    <w:rsid w:val="005F574F"/>
    <w:rsid w:val="0060013C"/>
    <w:rsid w:val="00602301"/>
    <w:rsid w:val="00605178"/>
    <w:rsid w:val="00605423"/>
    <w:rsid w:val="006105DA"/>
    <w:rsid w:val="00615ED3"/>
    <w:rsid w:val="00624F8E"/>
    <w:rsid w:val="00625DF9"/>
    <w:rsid w:val="0062621F"/>
    <w:rsid w:val="00627562"/>
    <w:rsid w:val="00627C3B"/>
    <w:rsid w:val="00634AE6"/>
    <w:rsid w:val="00635AED"/>
    <w:rsid w:val="00637691"/>
    <w:rsid w:val="0063776F"/>
    <w:rsid w:val="006444AD"/>
    <w:rsid w:val="0064702B"/>
    <w:rsid w:val="00652E6E"/>
    <w:rsid w:val="00656A70"/>
    <w:rsid w:val="006638CA"/>
    <w:rsid w:val="006677B6"/>
    <w:rsid w:val="00674C9E"/>
    <w:rsid w:val="00675DF6"/>
    <w:rsid w:val="006809EA"/>
    <w:rsid w:val="006847E9"/>
    <w:rsid w:val="00687EB1"/>
    <w:rsid w:val="00690423"/>
    <w:rsid w:val="00692600"/>
    <w:rsid w:val="006A639E"/>
    <w:rsid w:val="006A63E7"/>
    <w:rsid w:val="006C67DC"/>
    <w:rsid w:val="006D77B5"/>
    <w:rsid w:val="006E3B72"/>
    <w:rsid w:val="006F2F65"/>
    <w:rsid w:val="006F2FCB"/>
    <w:rsid w:val="006F348D"/>
    <w:rsid w:val="006F5F2B"/>
    <w:rsid w:val="006F756B"/>
    <w:rsid w:val="00703D0E"/>
    <w:rsid w:val="00704615"/>
    <w:rsid w:val="00705F41"/>
    <w:rsid w:val="00715640"/>
    <w:rsid w:val="00715B65"/>
    <w:rsid w:val="0071615E"/>
    <w:rsid w:val="00717CD8"/>
    <w:rsid w:val="0072128A"/>
    <w:rsid w:val="00722824"/>
    <w:rsid w:val="00724B99"/>
    <w:rsid w:val="00724CA6"/>
    <w:rsid w:val="00734BD3"/>
    <w:rsid w:val="00734D44"/>
    <w:rsid w:val="00737F9B"/>
    <w:rsid w:val="00742BA3"/>
    <w:rsid w:val="00743749"/>
    <w:rsid w:val="007443E5"/>
    <w:rsid w:val="007509D8"/>
    <w:rsid w:val="00757447"/>
    <w:rsid w:val="00784107"/>
    <w:rsid w:val="00787139"/>
    <w:rsid w:val="00791CF9"/>
    <w:rsid w:val="007944FD"/>
    <w:rsid w:val="007A1259"/>
    <w:rsid w:val="007A2652"/>
    <w:rsid w:val="007A4BEE"/>
    <w:rsid w:val="007C48D9"/>
    <w:rsid w:val="007D1A98"/>
    <w:rsid w:val="007D1B28"/>
    <w:rsid w:val="007D4317"/>
    <w:rsid w:val="007E6C19"/>
    <w:rsid w:val="007F1465"/>
    <w:rsid w:val="007F7906"/>
    <w:rsid w:val="0080087D"/>
    <w:rsid w:val="00802788"/>
    <w:rsid w:val="008027E8"/>
    <w:rsid w:val="00802BF3"/>
    <w:rsid w:val="008076EC"/>
    <w:rsid w:val="008078D5"/>
    <w:rsid w:val="008132E2"/>
    <w:rsid w:val="00814412"/>
    <w:rsid w:val="008149D8"/>
    <w:rsid w:val="00815051"/>
    <w:rsid w:val="00815ADD"/>
    <w:rsid w:val="00820455"/>
    <w:rsid w:val="008216F6"/>
    <w:rsid w:val="008231CD"/>
    <w:rsid w:val="008321C2"/>
    <w:rsid w:val="00833D14"/>
    <w:rsid w:val="00835037"/>
    <w:rsid w:val="00836180"/>
    <w:rsid w:val="00836B4F"/>
    <w:rsid w:val="008406C7"/>
    <w:rsid w:val="00843D0D"/>
    <w:rsid w:val="0084722A"/>
    <w:rsid w:val="008474F6"/>
    <w:rsid w:val="0085190A"/>
    <w:rsid w:val="00863E30"/>
    <w:rsid w:val="0086754C"/>
    <w:rsid w:val="00867FDA"/>
    <w:rsid w:val="00871F27"/>
    <w:rsid w:val="0087384B"/>
    <w:rsid w:val="00876DE4"/>
    <w:rsid w:val="0089278D"/>
    <w:rsid w:val="008A3B40"/>
    <w:rsid w:val="008A6128"/>
    <w:rsid w:val="008A6773"/>
    <w:rsid w:val="008B008D"/>
    <w:rsid w:val="008B0BA6"/>
    <w:rsid w:val="008B5A95"/>
    <w:rsid w:val="008C7317"/>
    <w:rsid w:val="008D18FD"/>
    <w:rsid w:val="008D3127"/>
    <w:rsid w:val="008D441E"/>
    <w:rsid w:val="008D4A59"/>
    <w:rsid w:val="008D4EBE"/>
    <w:rsid w:val="008D56CC"/>
    <w:rsid w:val="008E4863"/>
    <w:rsid w:val="008E594C"/>
    <w:rsid w:val="008E67FA"/>
    <w:rsid w:val="008E6F3C"/>
    <w:rsid w:val="008F3059"/>
    <w:rsid w:val="008F47E1"/>
    <w:rsid w:val="008F5786"/>
    <w:rsid w:val="008F7F72"/>
    <w:rsid w:val="009068F3"/>
    <w:rsid w:val="00906F76"/>
    <w:rsid w:val="0091005B"/>
    <w:rsid w:val="00911572"/>
    <w:rsid w:val="00913CDD"/>
    <w:rsid w:val="009140E1"/>
    <w:rsid w:val="00914355"/>
    <w:rsid w:val="009148AC"/>
    <w:rsid w:val="00920024"/>
    <w:rsid w:val="00921F64"/>
    <w:rsid w:val="00924D1E"/>
    <w:rsid w:val="00953A10"/>
    <w:rsid w:val="00967B84"/>
    <w:rsid w:val="00972AB0"/>
    <w:rsid w:val="00973537"/>
    <w:rsid w:val="0097580F"/>
    <w:rsid w:val="009810FC"/>
    <w:rsid w:val="00982E08"/>
    <w:rsid w:val="00991053"/>
    <w:rsid w:val="0099161A"/>
    <w:rsid w:val="009917D4"/>
    <w:rsid w:val="00995655"/>
    <w:rsid w:val="00997105"/>
    <w:rsid w:val="009A009F"/>
    <w:rsid w:val="009A0ED8"/>
    <w:rsid w:val="009A2ABB"/>
    <w:rsid w:val="009A3FD8"/>
    <w:rsid w:val="009A41F9"/>
    <w:rsid w:val="009C1012"/>
    <w:rsid w:val="009C43C6"/>
    <w:rsid w:val="009C7DE5"/>
    <w:rsid w:val="009D0241"/>
    <w:rsid w:val="009D1F8F"/>
    <w:rsid w:val="009D3782"/>
    <w:rsid w:val="009D7C37"/>
    <w:rsid w:val="009E1703"/>
    <w:rsid w:val="009F036A"/>
    <w:rsid w:val="009F113B"/>
    <w:rsid w:val="009F33FE"/>
    <w:rsid w:val="009F6E9F"/>
    <w:rsid w:val="009F7F6B"/>
    <w:rsid w:val="00A028A2"/>
    <w:rsid w:val="00A02DAE"/>
    <w:rsid w:val="00A0378D"/>
    <w:rsid w:val="00A10576"/>
    <w:rsid w:val="00A11DF0"/>
    <w:rsid w:val="00A17007"/>
    <w:rsid w:val="00A20EC0"/>
    <w:rsid w:val="00A26F80"/>
    <w:rsid w:val="00A34490"/>
    <w:rsid w:val="00A37583"/>
    <w:rsid w:val="00A40FB4"/>
    <w:rsid w:val="00A41A24"/>
    <w:rsid w:val="00A47D13"/>
    <w:rsid w:val="00A57701"/>
    <w:rsid w:val="00A6188B"/>
    <w:rsid w:val="00A6224E"/>
    <w:rsid w:val="00A62BB4"/>
    <w:rsid w:val="00A653B3"/>
    <w:rsid w:val="00A70AFD"/>
    <w:rsid w:val="00A71288"/>
    <w:rsid w:val="00A72012"/>
    <w:rsid w:val="00A7773A"/>
    <w:rsid w:val="00A827E1"/>
    <w:rsid w:val="00A83E9D"/>
    <w:rsid w:val="00A9087C"/>
    <w:rsid w:val="00A92874"/>
    <w:rsid w:val="00AA1823"/>
    <w:rsid w:val="00AA3E6F"/>
    <w:rsid w:val="00AA3F7E"/>
    <w:rsid w:val="00AB068B"/>
    <w:rsid w:val="00AB229E"/>
    <w:rsid w:val="00AB26CA"/>
    <w:rsid w:val="00AC00E1"/>
    <w:rsid w:val="00AC14D7"/>
    <w:rsid w:val="00AC19DA"/>
    <w:rsid w:val="00AC46E2"/>
    <w:rsid w:val="00AD0B4D"/>
    <w:rsid w:val="00AD3C22"/>
    <w:rsid w:val="00AD4156"/>
    <w:rsid w:val="00AE2442"/>
    <w:rsid w:val="00AE3E7A"/>
    <w:rsid w:val="00AE4C68"/>
    <w:rsid w:val="00AE5331"/>
    <w:rsid w:val="00AE6596"/>
    <w:rsid w:val="00AE7B34"/>
    <w:rsid w:val="00AF0765"/>
    <w:rsid w:val="00AF201B"/>
    <w:rsid w:val="00AF442E"/>
    <w:rsid w:val="00AF631D"/>
    <w:rsid w:val="00B0089D"/>
    <w:rsid w:val="00B05772"/>
    <w:rsid w:val="00B10EBC"/>
    <w:rsid w:val="00B22693"/>
    <w:rsid w:val="00B23B83"/>
    <w:rsid w:val="00B262EE"/>
    <w:rsid w:val="00B2654F"/>
    <w:rsid w:val="00B272A2"/>
    <w:rsid w:val="00B2745E"/>
    <w:rsid w:val="00B27644"/>
    <w:rsid w:val="00B34FB4"/>
    <w:rsid w:val="00B36B17"/>
    <w:rsid w:val="00B40F52"/>
    <w:rsid w:val="00B419CE"/>
    <w:rsid w:val="00B46702"/>
    <w:rsid w:val="00B46E4E"/>
    <w:rsid w:val="00B54417"/>
    <w:rsid w:val="00B62BA7"/>
    <w:rsid w:val="00B714F7"/>
    <w:rsid w:val="00B71A88"/>
    <w:rsid w:val="00B726FA"/>
    <w:rsid w:val="00B76B59"/>
    <w:rsid w:val="00B85C19"/>
    <w:rsid w:val="00B87374"/>
    <w:rsid w:val="00B971FD"/>
    <w:rsid w:val="00BA1B14"/>
    <w:rsid w:val="00BA2E6E"/>
    <w:rsid w:val="00BA6097"/>
    <w:rsid w:val="00BB5371"/>
    <w:rsid w:val="00BB6ED2"/>
    <w:rsid w:val="00BC2580"/>
    <w:rsid w:val="00BC4A2A"/>
    <w:rsid w:val="00BC7734"/>
    <w:rsid w:val="00BE2989"/>
    <w:rsid w:val="00BE513C"/>
    <w:rsid w:val="00BF09E1"/>
    <w:rsid w:val="00BF0A07"/>
    <w:rsid w:val="00BF46DC"/>
    <w:rsid w:val="00BF5D24"/>
    <w:rsid w:val="00C02F55"/>
    <w:rsid w:val="00C04409"/>
    <w:rsid w:val="00C06023"/>
    <w:rsid w:val="00C13F57"/>
    <w:rsid w:val="00C17CD8"/>
    <w:rsid w:val="00C24E45"/>
    <w:rsid w:val="00C276C4"/>
    <w:rsid w:val="00C27EC0"/>
    <w:rsid w:val="00C31667"/>
    <w:rsid w:val="00C32920"/>
    <w:rsid w:val="00C363E3"/>
    <w:rsid w:val="00C36D01"/>
    <w:rsid w:val="00C401F1"/>
    <w:rsid w:val="00C40D84"/>
    <w:rsid w:val="00C64874"/>
    <w:rsid w:val="00C708A1"/>
    <w:rsid w:val="00C710B1"/>
    <w:rsid w:val="00C765C1"/>
    <w:rsid w:val="00C76C6C"/>
    <w:rsid w:val="00C80946"/>
    <w:rsid w:val="00C86E60"/>
    <w:rsid w:val="00C90F3E"/>
    <w:rsid w:val="00C912D9"/>
    <w:rsid w:val="00C96435"/>
    <w:rsid w:val="00C96B34"/>
    <w:rsid w:val="00C97490"/>
    <w:rsid w:val="00CA0B98"/>
    <w:rsid w:val="00CA19C7"/>
    <w:rsid w:val="00CA1A8C"/>
    <w:rsid w:val="00CB3A1F"/>
    <w:rsid w:val="00CC07EA"/>
    <w:rsid w:val="00CC75E1"/>
    <w:rsid w:val="00CD7C67"/>
    <w:rsid w:val="00CE03D5"/>
    <w:rsid w:val="00CE14B7"/>
    <w:rsid w:val="00CE322D"/>
    <w:rsid w:val="00CF1974"/>
    <w:rsid w:val="00CF5D21"/>
    <w:rsid w:val="00D0340F"/>
    <w:rsid w:val="00D050F0"/>
    <w:rsid w:val="00D05FE5"/>
    <w:rsid w:val="00D11AF3"/>
    <w:rsid w:val="00D12787"/>
    <w:rsid w:val="00D14C0F"/>
    <w:rsid w:val="00D26F18"/>
    <w:rsid w:val="00D30EED"/>
    <w:rsid w:val="00D3269C"/>
    <w:rsid w:val="00D3394A"/>
    <w:rsid w:val="00D360AD"/>
    <w:rsid w:val="00D37324"/>
    <w:rsid w:val="00D37D30"/>
    <w:rsid w:val="00D42D1F"/>
    <w:rsid w:val="00D446D5"/>
    <w:rsid w:val="00D530F3"/>
    <w:rsid w:val="00D54BF9"/>
    <w:rsid w:val="00D54F79"/>
    <w:rsid w:val="00D669CA"/>
    <w:rsid w:val="00D70094"/>
    <w:rsid w:val="00D71B9D"/>
    <w:rsid w:val="00D71C48"/>
    <w:rsid w:val="00D73737"/>
    <w:rsid w:val="00D81BB7"/>
    <w:rsid w:val="00D903B6"/>
    <w:rsid w:val="00D94A36"/>
    <w:rsid w:val="00D955AF"/>
    <w:rsid w:val="00DA3A81"/>
    <w:rsid w:val="00DB5352"/>
    <w:rsid w:val="00DB7595"/>
    <w:rsid w:val="00DC1862"/>
    <w:rsid w:val="00DC323A"/>
    <w:rsid w:val="00DC6555"/>
    <w:rsid w:val="00DD4028"/>
    <w:rsid w:val="00DD4E01"/>
    <w:rsid w:val="00DE176F"/>
    <w:rsid w:val="00DE5351"/>
    <w:rsid w:val="00DF1574"/>
    <w:rsid w:val="00DF279B"/>
    <w:rsid w:val="00DF49E0"/>
    <w:rsid w:val="00DF5D88"/>
    <w:rsid w:val="00DF60A4"/>
    <w:rsid w:val="00E0470A"/>
    <w:rsid w:val="00E0618D"/>
    <w:rsid w:val="00E06F65"/>
    <w:rsid w:val="00E2322C"/>
    <w:rsid w:val="00E24895"/>
    <w:rsid w:val="00E2679D"/>
    <w:rsid w:val="00E37098"/>
    <w:rsid w:val="00E44834"/>
    <w:rsid w:val="00E459CF"/>
    <w:rsid w:val="00E47199"/>
    <w:rsid w:val="00E47530"/>
    <w:rsid w:val="00E507BC"/>
    <w:rsid w:val="00E52B86"/>
    <w:rsid w:val="00E5425F"/>
    <w:rsid w:val="00E54537"/>
    <w:rsid w:val="00E5472E"/>
    <w:rsid w:val="00E54E5A"/>
    <w:rsid w:val="00E55BD9"/>
    <w:rsid w:val="00E621DE"/>
    <w:rsid w:val="00E63465"/>
    <w:rsid w:val="00E64D36"/>
    <w:rsid w:val="00E72805"/>
    <w:rsid w:val="00E81B10"/>
    <w:rsid w:val="00E828DE"/>
    <w:rsid w:val="00E85D5F"/>
    <w:rsid w:val="00E877B0"/>
    <w:rsid w:val="00E9372E"/>
    <w:rsid w:val="00E9651F"/>
    <w:rsid w:val="00EA15DC"/>
    <w:rsid w:val="00EA2FFF"/>
    <w:rsid w:val="00EB12E1"/>
    <w:rsid w:val="00EB1F05"/>
    <w:rsid w:val="00EB3972"/>
    <w:rsid w:val="00EB5181"/>
    <w:rsid w:val="00EB77C0"/>
    <w:rsid w:val="00EB7DFA"/>
    <w:rsid w:val="00ED1B42"/>
    <w:rsid w:val="00ED41DF"/>
    <w:rsid w:val="00F01B58"/>
    <w:rsid w:val="00F02C67"/>
    <w:rsid w:val="00F128E1"/>
    <w:rsid w:val="00F13953"/>
    <w:rsid w:val="00F13A4E"/>
    <w:rsid w:val="00F20E00"/>
    <w:rsid w:val="00F210C5"/>
    <w:rsid w:val="00F272F5"/>
    <w:rsid w:val="00F3547C"/>
    <w:rsid w:val="00F40E68"/>
    <w:rsid w:val="00F42B5F"/>
    <w:rsid w:val="00F45BF9"/>
    <w:rsid w:val="00F577B8"/>
    <w:rsid w:val="00F608F3"/>
    <w:rsid w:val="00F64E6B"/>
    <w:rsid w:val="00F6598F"/>
    <w:rsid w:val="00F81A65"/>
    <w:rsid w:val="00F860CE"/>
    <w:rsid w:val="00F97508"/>
    <w:rsid w:val="00FA40CB"/>
    <w:rsid w:val="00FA6BC4"/>
    <w:rsid w:val="00FB35AB"/>
    <w:rsid w:val="00FB5B68"/>
    <w:rsid w:val="00FC2401"/>
    <w:rsid w:val="00FC2825"/>
    <w:rsid w:val="00FD6115"/>
    <w:rsid w:val="00FE02CE"/>
    <w:rsid w:val="00FE0970"/>
    <w:rsid w:val="00FE7889"/>
    <w:rsid w:val="00FF6A28"/>
    <w:rsid w:val="00FF7FDD"/>
    <w:rsid w:val="01784FAE"/>
    <w:rsid w:val="02411AB9"/>
    <w:rsid w:val="036E5ACE"/>
    <w:rsid w:val="04F62134"/>
    <w:rsid w:val="06F53E3D"/>
    <w:rsid w:val="070E2AFA"/>
    <w:rsid w:val="07F13FAE"/>
    <w:rsid w:val="088C19C0"/>
    <w:rsid w:val="091B29D8"/>
    <w:rsid w:val="095A7724"/>
    <w:rsid w:val="09DC0C8E"/>
    <w:rsid w:val="0ABE5EC6"/>
    <w:rsid w:val="0AF02C43"/>
    <w:rsid w:val="0B5C7530"/>
    <w:rsid w:val="0B83184E"/>
    <w:rsid w:val="0B8769D7"/>
    <w:rsid w:val="0C1E4A2F"/>
    <w:rsid w:val="0CD36378"/>
    <w:rsid w:val="0D29306A"/>
    <w:rsid w:val="0D3D0F36"/>
    <w:rsid w:val="0D544C32"/>
    <w:rsid w:val="0E370B89"/>
    <w:rsid w:val="100D7DF3"/>
    <w:rsid w:val="10841B04"/>
    <w:rsid w:val="11164B24"/>
    <w:rsid w:val="1192768E"/>
    <w:rsid w:val="11FF551A"/>
    <w:rsid w:val="1277798E"/>
    <w:rsid w:val="12E526E7"/>
    <w:rsid w:val="133E6515"/>
    <w:rsid w:val="138E25FB"/>
    <w:rsid w:val="13FF58F2"/>
    <w:rsid w:val="149F72E2"/>
    <w:rsid w:val="14DE205D"/>
    <w:rsid w:val="15552272"/>
    <w:rsid w:val="15670902"/>
    <w:rsid w:val="15977BC9"/>
    <w:rsid w:val="15C962CC"/>
    <w:rsid w:val="16094BB9"/>
    <w:rsid w:val="1636135F"/>
    <w:rsid w:val="16BE59A3"/>
    <w:rsid w:val="179238C2"/>
    <w:rsid w:val="18375EEC"/>
    <w:rsid w:val="18451E9C"/>
    <w:rsid w:val="18FD7B8B"/>
    <w:rsid w:val="198B6441"/>
    <w:rsid w:val="19B7311B"/>
    <w:rsid w:val="19B915C3"/>
    <w:rsid w:val="19CE0C84"/>
    <w:rsid w:val="1AED5037"/>
    <w:rsid w:val="1B247AC3"/>
    <w:rsid w:val="1B6D668B"/>
    <w:rsid w:val="1BBE3B9F"/>
    <w:rsid w:val="1BBE499E"/>
    <w:rsid w:val="1CD83537"/>
    <w:rsid w:val="1D6923E1"/>
    <w:rsid w:val="1D8424E6"/>
    <w:rsid w:val="1D8A2A83"/>
    <w:rsid w:val="1DE026A3"/>
    <w:rsid w:val="1EF33F6B"/>
    <w:rsid w:val="1EF614DB"/>
    <w:rsid w:val="1F106FB8"/>
    <w:rsid w:val="1F725EB2"/>
    <w:rsid w:val="202C2DE9"/>
    <w:rsid w:val="211103B4"/>
    <w:rsid w:val="21612119"/>
    <w:rsid w:val="219F1468"/>
    <w:rsid w:val="21E604A4"/>
    <w:rsid w:val="225C42C2"/>
    <w:rsid w:val="22727213"/>
    <w:rsid w:val="22891CE6"/>
    <w:rsid w:val="22AE027E"/>
    <w:rsid w:val="23156A1D"/>
    <w:rsid w:val="260A3257"/>
    <w:rsid w:val="261F571B"/>
    <w:rsid w:val="268D5C05"/>
    <w:rsid w:val="26A3506B"/>
    <w:rsid w:val="27D668C5"/>
    <w:rsid w:val="281F2C62"/>
    <w:rsid w:val="28E422ED"/>
    <w:rsid w:val="2A496A6F"/>
    <w:rsid w:val="2B1D6727"/>
    <w:rsid w:val="2DB9081B"/>
    <w:rsid w:val="2E7964C2"/>
    <w:rsid w:val="2F3B1D8A"/>
    <w:rsid w:val="2F6824F8"/>
    <w:rsid w:val="30030C79"/>
    <w:rsid w:val="30B17955"/>
    <w:rsid w:val="314B2DEF"/>
    <w:rsid w:val="32673BB2"/>
    <w:rsid w:val="33F611DA"/>
    <w:rsid w:val="33FC54A8"/>
    <w:rsid w:val="344D2B28"/>
    <w:rsid w:val="34C65E82"/>
    <w:rsid w:val="34CD6794"/>
    <w:rsid w:val="351033B6"/>
    <w:rsid w:val="3518510D"/>
    <w:rsid w:val="373553B6"/>
    <w:rsid w:val="3807472F"/>
    <w:rsid w:val="38560CF2"/>
    <w:rsid w:val="388B5983"/>
    <w:rsid w:val="38A322D3"/>
    <w:rsid w:val="399602BB"/>
    <w:rsid w:val="3A0208F7"/>
    <w:rsid w:val="3AD81BE3"/>
    <w:rsid w:val="3B1D39E0"/>
    <w:rsid w:val="3DA940B9"/>
    <w:rsid w:val="3DBF38A8"/>
    <w:rsid w:val="3DF4292A"/>
    <w:rsid w:val="3E160E69"/>
    <w:rsid w:val="3F0074A5"/>
    <w:rsid w:val="3F462059"/>
    <w:rsid w:val="3FEF3F72"/>
    <w:rsid w:val="401776B5"/>
    <w:rsid w:val="418F7450"/>
    <w:rsid w:val="41CA6156"/>
    <w:rsid w:val="425A3F23"/>
    <w:rsid w:val="437656C5"/>
    <w:rsid w:val="437B513F"/>
    <w:rsid w:val="443F7A85"/>
    <w:rsid w:val="444D01E4"/>
    <w:rsid w:val="44EE2D72"/>
    <w:rsid w:val="459A6978"/>
    <w:rsid w:val="45C81AEB"/>
    <w:rsid w:val="465D0F47"/>
    <w:rsid w:val="4662638F"/>
    <w:rsid w:val="47EA630C"/>
    <w:rsid w:val="481D61BC"/>
    <w:rsid w:val="48DC7083"/>
    <w:rsid w:val="49072EC0"/>
    <w:rsid w:val="49117305"/>
    <w:rsid w:val="495B1EA6"/>
    <w:rsid w:val="4A5D0433"/>
    <w:rsid w:val="4B1267B9"/>
    <w:rsid w:val="4B7E0B59"/>
    <w:rsid w:val="4BA1680A"/>
    <w:rsid w:val="4C6F31F2"/>
    <w:rsid w:val="4E03108A"/>
    <w:rsid w:val="4E2405A5"/>
    <w:rsid w:val="4E700716"/>
    <w:rsid w:val="4E70374D"/>
    <w:rsid w:val="4EDD06BA"/>
    <w:rsid w:val="4EFD6CDC"/>
    <w:rsid w:val="4F161CF3"/>
    <w:rsid w:val="4F4864E4"/>
    <w:rsid w:val="4F695F90"/>
    <w:rsid w:val="4F94051C"/>
    <w:rsid w:val="50CF4A20"/>
    <w:rsid w:val="522105B9"/>
    <w:rsid w:val="527B7CBB"/>
    <w:rsid w:val="53824C1F"/>
    <w:rsid w:val="53B45732"/>
    <w:rsid w:val="54AF5068"/>
    <w:rsid w:val="54F77CF7"/>
    <w:rsid w:val="561B7A15"/>
    <w:rsid w:val="56CB4F97"/>
    <w:rsid w:val="56D3344A"/>
    <w:rsid w:val="56D50EBC"/>
    <w:rsid w:val="56E60023"/>
    <w:rsid w:val="57CD4B04"/>
    <w:rsid w:val="583110A7"/>
    <w:rsid w:val="583A7D04"/>
    <w:rsid w:val="5A682D95"/>
    <w:rsid w:val="5B232365"/>
    <w:rsid w:val="5B33135D"/>
    <w:rsid w:val="5B767BC7"/>
    <w:rsid w:val="5BA26C0E"/>
    <w:rsid w:val="5BB3647D"/>
    <w:rsid w:val="5BB773D7"/>
    <w:rsid w:val="5C3D5A8E"/>
    <w:rsid w:val="5CA60C53"/>
    <w:rsid w:val="5CBC5269"/>
    <w:rsid w:val="5DD45079"/>
    <w:rsid w:val="5E557AE0"/>
    <w:rsid w:val="5E8F5931"/>
    <w:rsid w:val="5EE240B6"/>
    <w:rsid w:val="5FE82423"/>
    <w:rsid w:val="5FF25578"/>
    <w:rsid w:val="606A3F3D"/>
    <w:rsid w:val="607A107A"/>
    <w:rsid w:val="60983693"/>
    <w:rsid w:val="60BC2770"/>
    <w:rsid w:val="617A26B6"/>
    <w:rsid w:val="61CE461E"/>
    <w:rsid w:val="621E42D6"/>
    <w:rsid w:val="62CA40D4"/>
    <w:rsid w:val="63846BFA"/>
    <w:rsid w:val="63AD04D0"/>
    <w:rsid w:val="63B95BA4"/>
    <w:rsid w:val="63D27965"/>
    <w:rsid w:val="63E268F1"/>
    <w:rsid w:val="640E7A2D"/>
    <w:rsid w:val="641C6E32"/>
    <w:rsid w:val="64367476"/>
    <w:rsid w:val="65E9543A"/>
    <w:rsid w:val="665E2C03"/>
    <w:rsid w:val="66994E12"/>
    <w:rsid w:val="66FC6C31"/>
    <w:rsid w:val="685E52C7"/>
    <w:rsid w:val="68BC3A77"/>
    <w:rsid w:val="698C24B6"/>
    <w:rsid w:val="6A113EB9"/>
    <w:rsid w:val="6A3337AC"/>
    <w:rsid w:val="6C783074"/>
    <w:rsid w:val="6F563B40"/>
    <w:rsid w:val="6FA0300D"/>
    <w:rsid w:val="6FEB5B12"/>
    <w:rsid w:val="703C052B"/>
    <w:rsid w:val="7044087E"/>
    <w:rsid w:val="70A3656C"/>
    <w:rsid w:val="71330988"/>
    <w:rsid w:val="718E3E69"/>
    <w:rsid w:val="71A943D4"/>
    <w:rsid w:val="71EF2146"/>
    <w:rsid w:val="71F17FE0"/>
    <w:rsid w:val="72205E2D"/>
    <w:rsid w:val="72AC3A77"/>
    <w:rsid w:val="731301DE"/>
    <w:rsid w:val="7372081D"/>
    <w:rsid w:val="73D07860"/>
    <w:rsid w:val="740828A2"/>
    <w:rsid w:val="7457466E"/>
    <w:rsid w:val="765F7695"/>
    <w:rsid w:val="771672C3"/>
    <w:rsid w:val="77214B01"/>
    <w:rsid w:val="77E67A2B"/>
    <w:rsid w:val="79E36412"/>
    <w:rsid w:val="7C030C87"/>
    <w:rsid w:val="7D0612AE"/>
    <w:rsid w:val="7D3149F1"/>
    <w:rsid w:val="7DCE343B"/>
    <w:rsid w:val="7EBF73D0"/>
    <w:rsid w:val="7EDB4BD4"/>
    <w:rsid w:val="7F2F73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10" w:semiHidden="0" w:name="Title"/>
    <w:lsdException w:uiPriority="99" w:name="Closing"/>
    <w:lsdException w:uiPriority="99" w:name="Signature"/>
    <w:lsdException w:qFormat="1" w:uiPriority="1" w:name="Default Paragraph Font"/>
    <w:lsdException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11" w:semiHidden="0" w:name="Subtitle"/>
    <w:lsdException w:qFormat="1" w:unhideWhenUsed="0" w:uiPriority="99" w:semiHidden="0"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宋体" w:eastAsia="宋体" w:cstheme="minorBidi"/>
      <w:kern w:val="2"/>
      <w:sz w:val="21"/>
      <w:szCs w:val="22"/>
      <w:lang w:val="en-US" w:eastAsia="zh-CN" w:bidi="ar-SA"/>
    </w:rPr>
  </w:style>
  <w:style w:type="paragraph" w:styleId="3">
    <w:name w:val="heading 1"/>
    <w:basedOn w:val="1"/>
    <w:next w:val="1"/>
    <w:link w:val="60"/>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outlineLvl w:val="1"/>
    </w:pPr>
    <w:rPr>
      <w:rFonts w:ascii="Times New Roman" w:hAnsi="Times New Roman" w:eastAsia="黑体"/>
    </w:rPr>
  </w:style>
  <w:style w:type="paragraph" w:styleId="5">
    <w:name w:val="heading 3"/>
    <w:basedOn w:val="1"/>
    <w:next w:val="1"/>
    <w:unhideWhenUsed/>
    <w:qFormat/>
    <w:uiPriority w:val="0"/>
    <w:pPr>
      <w:keepNext/>
      <w:keepLines/>
      <w:spacing w:before="50" w:beforeLines="50" w:after="50" w:afterLines="50"/>
      <w:outlineLvl w:val="2"/>
    </w:pPr>
    <w:rPr>
      <w:rFonts w:ascii="Times New Roman" w:hAnsi="Times New Roman" w:eastAsia="黑体"/>
    </w:rPr>
  </w:style>
  <w:style w:type="paragraph" w:styleId="6">
    <w:name w:val="heading 4"/>
    <w:basedOn w:val="1"/>
    <w:next w:val="1"/>
    <w:unhideWhenUsed/>
    <w:qFormat/>
    <w:uiPriority w:val="0"/>
    <w:pPr>
      <w:keepNext/>
      <w:keepLines/>
      <w:outlineLvl w:val="3"/>
    </w:pPr>
    <w:rPr>
      <w:rFonts w:ascii="Times New Roman" w:hAnsi="Times New Roman" w:eastAsia="黑体"/>
    </w:rPr>
  </w:style>
  <w:style w:type="paragraph" w:styleId="7">
    <w:name w:val="heading 5"/>
    <w:basedOn w:val="1"/>
    <w:next w:val="1"/>
    <w:link w:val="61"/>
    <w:semiHidden/>
    <w:unhideWhenUsed/>
    <w:qFormat/>
    <w:uiPriority w:val="9"/>
    <w:pPr>
      <w:keepNext/>
      <w:keepLines/>
      <w:spacing w:before="280" w:after="290" w:line="376" w:lineRule="auto"/>
      <w:outlineLvl w:val="4"/>
    </w:pPr>
    <w:rPr>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qFormat/>
    <w:uiPriority w:val="99"/>
  </w:style>
  <w:style w:type="paragraph" w:styleId="8">
    <w:name w:val="caption"/>
    <w:basedOn w:val="1"/>
    <w:next w:val="1"/>
    <w:unhideWhenUsed/>
    <w:qFormat/>
    <w:uiPriority w:val="35"/>
    <w:rPr>
      <w:rFonts w:eastAsia="黑体" w:asciiTheme="majorHAnsi" w:hAnsiTheme="majorHAnsi" w:cstheme="majorBidi"/>
      <w:sz w:val="20"/>
      <w:szCs w:val="20"/>
    </w:rPr>
  </w:style>
  <w:style w:type="paragraph" w:styleId="9">
    <w:name w:val="annotation text"/>
    <w:basedOn w:val="1"/>
    <w:link w:val="49"/>
    <w:semiHidden/>
    <w:unhideWhenUsed/>
    <w:qFormat/>
    <w:uiPriority w:val="99"/>
    <w:pPr>
      <w:jc w:val="left"/>
    </w:pPr>
  </w:style>
  <w:style w:type="paragraph" w:styleId="10">
    <w:name w:val="toc 3"/>
    <w:basedOn w:val="1"/>
    <w:next w:val="1"/>
    <w:unhideWhenUsed/>
    <w:qFormat/>
    <w:uiPriority w:val="39"/>
    <w:pPr>
      <w:ind w:left="200" w:leftChars="200"/>
    </w:pPr>
  </w:style>
  <w:style w:type="paragraph" w:styleId="11">
    <w:name w:val="footer"/>
    <w:basedOn w:val="1"/>
    <w:link w:val="28"/>
    <w:unhideWhenUsed/>
    <w:qFormat/>
    <w:uiPriority w:val="99"/>
    <w:pPr>
      <w:widowControl/>
      <w:tabs>
        <w:tab w:val="center" w:pos="4680"/>
        <w:tab w:val="right" w:pos="9360"/>
      </w:tabs>
      <w:jc w:val="left"/>
    </w:pPr>
    <w:rPr>
      <w:rFonts w:cs="Times New Roman"/>
      <w:kern w:val="0"/>
      <w:sz w:val="22"/>
    </w:rPr>
  </w:style>
  <w:style w:type="paragraph" w:styleId="12">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4"/>
    <w:autoRedefine/>
    <w:unhideWhenUsed/>
    <w:qFormat/>
    <w:uiPriority w:val="39"/>
    <w:pPr>
      <w:tabs>
        <w:tab w:val="right" w:leader="dot" w:pos="9344"/>
      </w:tabs>
      <w:spacing w:before="78" w:beforeLines="25" w:after="78" w:afterLines="25"/>
    </w:pPr>
  </w:style>
  <w:style w:type="paragraph" w:styleId="14">
    <w:name w:val="toc 2"/>
    <w:basedOn w:val="1"/>
    <w:next w:val="1"/>
    <w:autoRedefine/>
    <w:unhideWhenUsed/>
    <w:qFormat/>
    <w:uiPriority w:val="39"/>
    <w:pPr>
      <w:ind w:left="100" w:leftChars="100"/>
    </w:pPr>
  </w:style>
  <w:style w:type="paragraph" w:styleId="1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cs="Times New Roman"/>
      <w:kern w:val="0"/>
      <w:sz w:val="24"/>
      <w:szCs w:val="24"/>
    </w:rPr>
  </w:style>
  <w:style w:type="paragraph" w:styleId="16">
    <w:name w:val="Normal (Web)"/>
    <w:basedOn w:val="1"/>
    <w:unhideWhenUsed/>
    <w:qFormat/>
    <w:uiPriority w:val="99"/>
    <w:pPr>
      <w:spacing w:beforeAutospacing="1" w:afterAutospacing="1"/>
      <w:jc w:val="left"/>
    </w:pPr>
    <w:rPr>
      <w:rFonts w:cs="Times New Roman"/>
      <w:kern w:val="0"/>
      <w:sz w:val="24"/>
    </w:rPr>
  </w:style>
  <w:style w:type="paragraph" w:styleId="17">
    <w:name w:val="annotation subject"/>
    <w:basedOn w:val="9"/>
    <w:next w:val="9"/>
    <w:link w:val="50"/>
    <w:semiHidden/>
    <w:unhideWhenUsed/>
    <w:qFormat/>
    <w:uiPriority w:val="99"/>
    <w:rPr>
      <w:b/>
      <w:bCs/>
    </w:rPr>
  </w:style>
  <w:style w:type="table" w:styleId="19">
    <w:name w:val="Table Grid"/>
    <w:basedOn w:val="18"/>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basedOn w:val="20"/>
    <w:qFormat/>
    <w:uiPriority w:val="22"/>
    <w:rPr>
      <w:b/>
    </w:rPr>
  </w:style>
  <w:style w:type="character" w:styleId="22">
    <w:name w:val="Hyperlink"/>
    <w:basedOn w:val="20"/>
    <w:unhideWhenUsed/>
    <w:qFormat/>
    <w:uiPriority w:val="99"/>
    <w:rPr>
      <w:color w:val="0000FF"/>
      <w:u w:val="single"/>
    </w:rPr>
  </w:style>
  <w:style w:type="character" w:styleId="23">
    <w:name w:val="annotation reference"/>
    <w:basedOn w:val="20"/>
    <w:semiHidden/>
    <w:unhideWhenUsed/>
    <w:qFormat/>
    <w:uiPriority w:val="99"/>
    <w:rPr>
      <w:sz w:val="21"/>
      <w:szCs w:val="21"/>
    </w:rPr>
  </w:style>
  <w:style w:type="paragraph" w:customStyle="1" w:styleId="24">
    <w:name w:val="表格内容"/>
    <w:basedOn w:val="25"/>
    <w:next w:val="25"/>
    <w:qFormat/>
    <w:uiPriority w:val="0"/>
    <w:pPr>
      <w:widowControl w:val="0"/>
    </w:pPr>
    <w:rPr>
      <w:rFonts w:cstheme="minorBidi"/>
      <w:snapToGrid w:val="0"/>
      <w:color w:val="000000"/>
      <w:kern w:val="2"/>
      <w:sz w:val="18"/>
      <w:szCs w:val="22"/>
      <w:lang w:eastAsia="en-US"/>
    </w:rPr>
  </w:style>
  <w:style w:type="paragraph" w:customStyle="1" w:styleId="25">
    <w:name w:val="段"/>
    <w:link w:val="29"/>
    <w:qFormat/>
    <w:uiPriority w:val="0"/>
    <w:pPr>
      <w:autoSpaceDE w:val="0"/>
      <w:autoSpaceDN w:val="0"/>
      <w:ind w:firstLine="200" w:firstLineChars="200"/>
      <w:jc w:val="both"/>
    </w:pPr>
    <w:rPr>
      <w:rFonts w:ascii="宋体" w:hAnsi="宋体" w:eastAsia="宋体" w:cs="Times New Roman"/>
      <w:sz w:val="21"/>
      <w:lang w:val="en-US" w:eastAsia="zh-CN" w:bidi="ar-SA"/>
    </w:rPr>
  </w:style>
  <w:style w:type="paragraph" w:customStyle="1" w:styleId="26">
    <w:name w:val="偶数页眉"/>
    <w:qFormat/>
    <w:uiPriority w:val="0"/>
    <w:rPr>
      <w:rFonts w:ascii="黑体" w:hAnsi="黑体" w:eastAsia="黑体" w:cs="Times New Roman"/>
      <w:sz w:val="21"/>
      <w:szCs w:val="21"/>
      <w:lang w:val="en-US" w:eastAsia="zh-CN" w:bidi="ar-SA"/>
    </w:rPr>
  </w:style>
  <w:style w:type="paragraph" w:customStyle="1" w:styleId="27">
    <w:name w:val="术语条目"/>
    <w:qFormat/>
    <w:uiPriority w:val="0"/>
    <w:rPr>
      <w:rFonts w:ascii="黑体" w:hAnsi="黑体" w:eastAsia="黑体" w:cs="Times New Roman"/>
      <w:sz w:val="21"/>
      <w:szCs w:val="21"/>
      <w:lang w:val="en-US" w:eastAsia="zh-CN" w:bidi="ar-SA"/>
    </w:rPr>
  </w:style>
  <w:style w:type="character" w:customStyle="1" w:styleId="28">
    <w:name w:val="页脚 字符"/>
    <w:basedOn w:val="20"/>
    <w:link w:val="11"/>
    <w:qFormat/>
    <w:uiPriority w:val="99"/>
    <w:rPr>
      <w:rFonts w:asciiTheme="minorHAnsi" w:hAnsiTheme="minorHAnsi" w:eastAsiaTheme="minorEastAsia"/>
      <w:sz w:val="22"/>
      <w:szCs w:val="22"/>
    </w:rPr>
  </w:style>
  <w:style w:type="character" w:customStyle="1" w:styleId="29">
    <w:name w:val="段 Char"/>
    <w:link w:val="25"/>
    <w:qFormat/>
    <w:uiPriority w:val="0"/>
    <w:rPr>
      <w:rFonts w:ascii="宋体" w:hAnsi="宋体"/>
      <w:sz w:val="21"/>
    </w:rPr>
  </w:style>
  <w:style w:type="paragraph" w:customStyle="1" w:styleId="30">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31">
    <w:name w:val="封面标准英文名称"/>
    <w:basedOn w:val="1"/>
    <w:qFormat/>
    <w:uiPriority w:val="0"/>
    <w:pPr>
      <w:framePr w:w="9639" w:h="6917" w:hRule="exact" w:wrap="around" w:vAnchor="page" w:hAnchor="page" w:x="849" w:y="5749" w:anchorLock="1"/>
      <w:spacing w:before="370" w:line="400" w:lineRule="exact"/>
      <w:jc w:val="center"/>
      <w:textAlignment w:val="center"/>
    </w:pPr>
    <w:rPr>
      <w:rFonts w:ascii="黑体" w:hAnsi="黑体" w:eastAsia="黑体" w:cs="Times New Roman"/>
      <w:kern w:val="0"/>
      <w:sz w:val="28"/>
      <w:szCs w:val="28"/>
    </w:rPr>
  </w:style>
  <w:style w:type="paragraph" w:customStyle="1" w:styleId="32">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cs="Times New Roman"/>
      <w:kern w:val="0"/>
      <w:sz w:val="28"/>
      <w:szCs w:val="20"/>
    </w:rPr>
  </w:style>
  <w:style w:type="paragraph" w:customStyle="1" w:styleId="33">
    <w:name w:val="其他实施日期"/>
    <w:basedOn w:val="1"/>
    <w:qFormat/>
    <w:uiPriority w:val="0"/>
    <w:pPr>
      <w:framePr w:w="3997" w:h="471" w:hRule="exact" w:vSpace="181" w:wrap="around" w:vAnchor="page" w:hAnchor="page" w:x="7089" w:y="14097" w:anchorLock="1"/>
      <w:widowControl/>
      <w:jc w:val="right"/>
    </w:pPr>
    <w:rPr>
      <w:rFonts w:ascii="Times New Roman" w:hAnsi="Times New Roman" w:eastAsia="黑体" w:cs="Times New Roman"/>
      <w:kern w:val="0"/>
      <w:sz w:val="28"/>
      <w:szCs w:val="20"/>
    </w:rPr>
  </w:style>
  <w:style w:type="paragraph" w:customStyle="1" w:styleId="34">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35">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36">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37">
    <w:name w:val="前言、引言标题"/>
    <w:next w:val="25"/>
    <w:qFormat/>
    <w:uiPriority w:val="0"/>
    <w:pPr>
      <w:keepNext/>
      <w:pageBreakBefore/>
      <w:shd w:val="clear" w:color="FFFFFF" w:fill="FFFFFF"/>
      <w:spacing w:before="567" w:after="680"/>
      <w:jc w:val="center"/>
      <w:outlineLvl w:val="0"/>
    </w:pPr>
    <w:rPr>
      <w:rFonts w:ascii="黑体" w:hAnsi="Times New Roman" w:eastAsia="黑体" w:cs="Times New Roman"/>
      <w:sz w:val="32"/>
      <w:lang w:val="en-US" w:eastAsia="zh-CN" w:bidi="ar-SA"/>
    </w:rPr>
  </w:style>
  <w:style w:type="paragraph" w:customStyle="1" w:styleId="38">
    <w:name w:val="一级条标题"/>
    <w:basedOn w:val="39"/>
    <w:next w:val="25"/>
    <w:qFormat/>
    <w:uiPriority w:val="0"/>
    <w:pPr>
      <w:keepNext/>
      <w:spacing w:before="156" w:beforeLines="50" w:after="156" w:afterLines="50"/>
      <w:jc w:val="left"/>
      <w:outlineLvl w:val="1"/>
    </w:pPr>
    <w:rPr>
      <w:szCs w:val="21"/>
    </w:rPr>
  </w:style>
  <w:style w:type="paragraph" w:customStyle="1" w:styleId="39">
    <w:name w:val="章标题"/>
    <w:next w:val="25"/>
    <w:qFormat/>
    <w:uiPriority w:val="0"/>
    <w:pPr>
      <w:spacing w:before="312" w:beforeLines="100" w:after="312" w:afterLines="100"/>
      <w:jc w:val="both"/>
      <w:outlineLvl w:val="0"/>
    </w:pPr>
    <w:rPr>
      <w:rFonts w:ascii="黑体" w:hAnsi="黑体" w:eastAsia="黑体" w:cs="Times New Roman"/>
      <w:sz w:val="21"/>
      <w:lang w:val="en-US" w:eastAsia="zh-CN" w:bidi="ar-SA"/>
    </w:rPr>
  </w:style>
  <w:style w:type="paragraph" w:customStyle="1" w:styleId="40">
    <w:name w:val="二级条标题"/>
    <w:basedOn w:val="38"/>
    <w:next w:val="25"/>
    <w:qFormat/>
    <w:uiPriority w:val="0"/>
    <w:pPr>
      <w:outlineLvl w:val="2"/>
    </w:pPr>
  </w:style>
  <w:style w:type="paragraph" w:customStyle="1" w:styleId="41">
    <w:name w:val="目次、标准名称标题"/>
    <w:basedOn w:val="1"/>
    <w:next w:val="25"/>
    <w:qFormat/>
    <w:uiPriority w:val="0"/>
    <w:pPr>
      <w:keepNext/>
      <w:pageBreakBefore/>
      <w:widowControl/>
      <w:shd w:val="clear" w:color="FFFFFF" w:fill="FFFFFF"/>
      <w:spacing w:before="567" w:after="680" w:line="460" w:lineRule="exact"/>
      <w:jc w:val="center"/>
    </w:pPr>
    <w:rPr>
      <w:rFonts w:ascii="黑体" w:hAnsi="黑体" w:eastAsia="黑体" w:cs="Times New Roman"/>
      <w:kern w:val="0"/>
      <w:sz w:val="32"/>
      <w:szCs w:val="20"/>
    </w:rPr>
  </w:style>
  <w:style w:type="paragraph" w:customStyle="1" w:styleId="42">
    <w:name w:val="三级条标题"/>
    <w:basedOn w:val="40"/>
    <w:next w:val="25"/>
    <w:qFormat/>
    <w:uiPriority w:val="0"/>
    <w:pPr>
      <w:outlineLvl w:val="4"/>
    </w:pPr>
  </w:style>
  <w:style w:type="paragraph" w:customStyle="1" w:styleId="43">
    <w:name w:val="四级条标题"/>
    <w:basedOn w:val="42"/>
    <w:next w:val="25"/>
    <w:qFormat/>
    <w:uiPriority w:val="0"/>
    <w:pPr>
      <w:outlineLvl w:val="5"/>
    </w:pPr>
  </w:style>
  <w:style w:type="paragraph" w:customStyle="1" w:styleId="44">
    <w:name w:val="五级条标题"/>
    <w:basedOn w:val="43"/>
    <w:next w:val="25"/>
    <w:qFormat/>
    <w:uiPriority w:val="0"/>
    <w:pPr>
      <w:outlineLvl w:val="6"/>
    </w:pPr>
  </w:style>
  <w:style w:type="paragraph" w:customStyle="1" w:styleId="45">
    <w:name w:val="正文表标题"/>
    <w:next w:val="25"/>
    <w:qFormat/>
    <w:uiPriority w:val="0"/>
    <w:pPr>
      <w:spacing w:before="156" w:beforeLines="50" w:after="156" w:afterLines="50"/>
      <w:jc w:val="center"/>
    </w:pPr>
    <w:rPr>
      <w:rFonts w:ascii="黑体" w:hAnsi="黑体" w:eastAsia="黑体" w:cs="Times New Roman"/>
      <w:sz w:val="21"/>
      <w:lang w:val="en-US" w:eastAsia="zh-CN" w:bidi="ar-SA"/>
    </w:rPr>
  </w:style>
  <w:style w:type="paragraph" w:customStyle="1" w:styleId="46">
    <w:name w:val="奇数页眉"/>
    <w:next w:val="1"/>
    <w:qFormat/>
    <w:uiPriority w:val="0"/>
    <w:pPr>
      <w:jc w:val="right"/>
    </w:pPr>
    <w:rPr>
      <w:rFonts w:ascii="黑体" w:hAnsi="黑体" w:eastAsia="黑体" w:cs="Times New Roman"/>
      <w:sz w:val="21"/>
      <w:szCs w:val="21"/>
      <w:lang w:val="en-US" w:eastAsia="zh-CN" w:bidi="ar-SA"/>
    </w:rPr>
  </w:style>
  <w:style w:type="paragraph" w:customStyle="1" w:styleId="47">
    <w:name w:val="二级无"/>
    <w:basedOn w:val="40"/>
    <w:autoRedefine/>
    <w:qFormat/>
    <w:uiPriority w:val="0"/>
    <w:rPr>
      <w:rFonts w:ascii="宋体" w:eastAsia="宋体"/>
    </w:rPr>
  </w:style>
  <w:style w:type="paragraph" w:customStyle="1" w:styleId="48">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9">
    <w:name w:val="批注文字 字符"/>
    <w:basedOn w:val="20"/>
    <w:link w:val="9"/>
    <w:semiHidden/>
    <w:qFormat/>
    <w:uiPriority w:val="99"/>
    <w:rPr>
      <w:rFonts w:asciiTheme="minorHAnsi" w:hAnsiTheme="minorHAnsi" w:eastAsiaTheme="minorEastAsia" w:cstheme="minorBidi"/>
      <w:kern w:val="2"/>
      <w:sz w:val="21"/>
      <w:szCs w:val="22"/>
    </w:rPr>
  </w:style>
  <w:style w:type="character" w:customStyle="1" w:styleId="50">
    <w:name w:val="批注主题 字符"/>
    <w:basedOn w:val="49"/>
    <w:link w:val="17"/>
    <w:semiHidden/>
    <w:qFormat/>
    <w:uiPriority w:val="99"/>
    <w:rPr>
      <w:rFonts w:asciiTheme="minorHAnsi" w:hAnsiTheme="minorHAnsi" w:eastAsiaTheme="minorEastAsia" w:cstheme="minorBidi"/>
      <w:b/>
      <w:bCs/>
      <w:kern w:val="2"/>
      <w:sz w:val="21"/>
      <w:szCs w:val="22"/>
    </w:rPr>
  </w:style>
  <w:style w:type="paragraph" w:customStyle="1" w:styleId="5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styleId="53">
    <w:name w:val="List Paragraph"/>
    <w:basedOn w:val="1"/>
    <w:unhideWhenUsed/>
    <w:qFormat/>
    <w:uiPriority w:val="99"/>
    <w:pPr>
      <w:ind w:firstLine="420" w:firstLineChars="200"/>
    </w:pPr>
  </w:style>
  <w:style w:type="paragraph" w:customStyle="1" w:styleId="54">
    <w:name w:val="附录标题"/>
    <w:basedOn w:val="37"/>
    <w:next w:val="1"/>
    <w:qFormat/>
    <w:uiPriority w:val="0"/>
    <w:pPr>
      <w:spacing w:after="0"/>
    </w:pPr>
  </w:style>
  <w:style w:type="table" w:customStyle="1" w:styleId="55">
    <w:name w:val="Table Normal"/>
    <w:semiHidden/>
    <w:unhideWhenUsed/>
    <w:qFormat/>
    <w:uiPriority w:val="0"/>
    <w:pPr>
      <w:spacing w:after="160" w:line="278" w:lineRule="auto"/>
    </w:pPr>
    <w:rPr>
      <w:rFonts w:ascii="Arial" w:hAnsi="Arial" w:cs="Arial" w:eastAsiaTheme="minorEastAsia"/>
      <w:snapToGrid w:val="0"/>
      <w:color w:val="000000"/>
      <w:sz w:val="21"/>
      <w:szCs w:val="21"/>
      <w:lang w:eastAsia="en-US"/>
    </w:rPr>
    <w:tblPr>
      <w:tblCellMar>
        <w:top w:w="0" w:type="dxa"/>
        <w:left w:w="0" w:type="dxa"/>
        <w:bottom w:w="0" w:type="dxa"/>
        <w:right w:w="0" w:type="dxa"/>
      </w:tblCellMar>
    </w:tblPr>
  </w:style>
  <w:style w:type="paragraph" w:customStyle="1" w:styleId="56">
    <w:name w:val="Table Text"/>
    <w:basedOn w:val="1"/>
    <w:semiHidden/>
    <w:qFormat/>
    <w:uiPriority w:val="0"/>
    <w:pPr>
      <w:widowControl/>
      <w:kinsoku w:val="0"/>
      <w:autoSpaceDE w:val="0"/>
      <w:autoSpaceDN w:val="0"/>
      <w:adjustRightInd w:val="0"/>
      <w:snapToGrid w:val="0"/>
      <w:spacing w:after="160"/>
      <w:jc w:val="left"/>
      <w:textAlignment w:val="baseline"/>
    </w:pPr>
    <w:rPr>
      <w:rFonts w:ascii="微软雅黑" w:hAnsi="微软雅黑" w:eastAsia="微软雅黑" w:cs="微软雅黑"/>
      <w:snapToGrid w:val="0"/>
      <w:color w:val="000000"/>
      <w:kern w:val="0"/>
      <w:sz w:val="16"/>
      <w:szCs w:val="16"/>
      <w:lang w:eastAsia="en-US"/>
    </w:rPr>
  </w:style>
  <w:style w:type="character" w:customStyle="1" w:styleId="57">
    <w:name w:val="未处理的提及1"/>
    <w:basedOn w:val="20"/>
    <w:semiHidden/>
    <w:unhideWhenUsed/>
    <w:qFormat/>
    <w:uiPriority w:val="99"/>
    <w:rPr>
      <w:color w:val="605E5C"/>
      <w:shd w:val="clear" w:color="auto" w:fill="E1DFDD"/>
    </w:rPr>
  </w:style>
  <w:style w:type="paragraph" w:customStyle="1" w:styleId="58">
    <w:name w:val="奇数页码"/>
    <w:qFormat/>
    <w:uiPriority w:val="0"/>
    <w:pPr>
      <w:ind w:right="227"/>
      <w:jc w:val="right"/>
    </w:pPr>
    <w:rPr>
      <w:rFonts w:ascii="宋体" w:hAnsi="宋体" w:eastAsia="宋体" w:cstheme="minorBidi"/>
      <w:kern w:val="2"/>
      <w:sz w:val="18"/>
      <w:szCs w:val="18"/>
      <w:lang w:val="en-US" w:eastAsia="zh-CN" w:bidi="ar-SA"/>
    </w:rPr>
  </w:style>
  <w:style w:type="paragraph" w:customStyle="1" w:styleId="59">
    <w:name w:val="偶数页码"/>
    <w:qFormat/>
    <w:uiPriority w:val="0"/>
    <w:pPr>
      <w:ind w:left="227"/>
    </w:pPr>
    <w:rPr>
      <w:rFonts w:ascii="宋体" w:hAnsi="宋体" w:eastAsia="宋体" w:cstheme="minorBidi"/>
      <w:kern w:val="2"/>
      <w:sz w:val="18"/>
      <w:szCs w:val="18"/>
      <w:lang w:val="en-US" w:eastAsia="zh-CN" w:bidi="ar-SA"/>
    </w:rPr>
  </w:style>
  <w:style w:type="character" w:customStyle="1" w:styleId="60">
    <w:name w:val="标题 1 字符"/>
    <w:basedOn w:val="20"/>
    <w:link w:val="3"/>
    <w:qFormat/>
    <w:uiPriority w:val="9"/>
    <w:rPr>
      <w:rFonts w:asciiTheme="minorHAnsi" w:hAnsiTheme="minorHAnsi" w:eastAsiaTheme="minorEastAsia" w:cstheme="minorBidi"/>
      <w:b/>
      <w:bCs/>
      <w:kern w:val="44"/>
      <w:sz w:val="44"/>
      <w:szCs w:val="44"/>
    </w:rPr>
  </w:style>
  <w:style w:type="character" w:customStyle="1" w:styleId="61">
    <w:name w:val="标题 5 字符"/>
    <w:basedOn w:val="20"/>
    <w:link w:val="7"/>
    <w:semiHidden/>
    <w:qFormat/>
    <w:uiPriority w:val="9"/>
    <w:rPr>
      <w:rFonts w:ascii="宋体" w:hAnsi="宋体" w:cstheme="minorBidi"/>
      <w:b/>
      <w:bCs/>
      <w:kern w:val="2"/>
      <w:sz w:val="28"/>
      <w:szCs w:val="28"/>
    </w:rPr>
  </w:style>
  <w:style w:type="paragraph" w:customStyle="1" w:styleId="62">
    <w:name w:val="Revision"/>
    <w:hidden/>
    <w:unhideWhenUsed/>
    <w:qFormat/>
    <w:uiPriority w:val="99"/>
    <w:rPr>
      <w:rFonts w:ascii="宋体" w:hAnsi="宋体" w:eastAsia="宋体"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theme" Target="theme/theme1.xml"/><Relationship Id="rId21" Type="http://schemas.openxmlformats.org/officeDocument/2006/relationships/footer" Target="footer9.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footer" Target="footer8.xml"/><Relationship Id="rId18" Type="http://schemas.openxmlformats.org/officeDocument/2006/relationships/header" Target="header9.xml"/><Relationship Id="rId17" Type="http://schemas.openxmlformats.org/officeDocument/2006/relationships/footer" Target="footer7.xml"/><Relationship Id="rId16" Type="http://schemas.openxmlformats.org/officeDocument/2006/relationships/footer" Target="footer6.xml"/><Relationship Id="rId15" Type="http://schemas.openxmlformats.org/officeDocument/2006/relationships/header" Target="header8.xml"/><Relationship Id="rId14" Type="http://schemas.openxmlformats.org/officeDocument/2006/relationships/header" Target="header7.xml"/><Relationship Id="rId13" Type="http://schemas.openxmlformats.org/officeDocument/2006/relationships/header" Target="head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header" Target="head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2EDED9-062C-471A-9BAE-4735BEA46285}">
  <ds:schemaRefs/>
</ds:datastoreItem>
</file>

<file path=docProps/app.xml><?xml version="1.0" encoding="utf-8"?>
<Properties xmlns="http://schemas.openxmlformats.org/officeDocument/2006/extended-properties" xmlns:vt="http://schemas.openxmlformats.org/officeDocument/2006/docPropsVTypes">
  <Template>Normal</Template>
  <Pages>14</Pages>
  <Words>2444</Words>
  <Characters>2714</Characters>
  <Lines>169</Lines>
  <Paragraphs>245</Paragraphs>
  <TotalTime>0</TotalTime>
  <ScaleCrop>false</ScaleCrop>
  <LinksUpToDate>false</LinksUpToDate>
  <CharactersWithSpaces>4913</CharactersWithSpaces>
  <Application>WPS Office_12.8.2.18676_F1E327BC-269C-435d-A152-05C5408002CA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2025-05-21T01:43:00Z</dcterms:created>
  <dc:creator>蔡 先生</dc:creator>
  <cp:lastModifiedBy>刘典云</cp:lastModifiedBy>
  <cp:lastPrinted>2025-03-07T02:19:00Z</cp:lastPrinted>
  <dcterms:modified xsi:type="dcterms:W3CDTF">2025-12-11T09:01:59Z</dcterms:modified>
  <cp:revision>463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2052-12.8.2.18676</vt:lpwstr>
  </property>
  <property fmtid="{D5CDD505-2E9C-101B-9397-08002B2CF9AE}" pid="3" name="ICV">
    <vt:lpwstr>071720FA9EE44532B5C1777A1C25728B_13</vt:lpwstr>
  </property>
  <property fmtid="{D5CDD505-2E9C-101B-9397-08002B2CF9AE}" pid="4" name="KSOTemplateDocerSaveRecord">
    <vt:lpwstr>eyJoZGlkIjoiOGUwZjBiNjgxZjRhYmQ0N2JkMGQ3YmZkZjNmZWE5ZWQiLCJ1c2VySWQiOiIyOTc3OTkzOTgifQ==</vt:lpwstr>
  </property>
</Properties>
</file>